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D02A6" w14:textId="0FE52B35" w:rsidR="00B90350" w:rsidRPr="00367781" w:rsidRDefault="006149D1" w:rsidP="00B90350">
      <w:pPr>
        <w:tabs>
          <w:tab w:val="right" w:pos="9216"/>
        </w:tabs>
        <w:autoSpaceDE w:val="0"/>
        <w:autoSpaceDN w:val="0"/>
        <w:adjustRightInd w:val="0"/>
        <w:snapToGrid w:val="0"/>
        <w:rPr>
          <w:rFonts w:eastAsia="SimSun"/>
          <w:b/>
          <w:kern w:val="2"/>
          <w:sz w:val="22"/>
          <w:szCs w:val="22"/>
          <w:lang w:val="en-US" w:eastAsia="zh-CN"/>
        </w:rPr>
      </w:pPr>
      <w:r>
        <w:rPr>
          <w:rFonts w:eastAsia="SimSun"/>
          <w:b/>
          <w:kern w:val="2"/>
          <w:sz w:val="22"/>
          <w:szCs w:val="22"/>
          <w:lang w:val="en-US" w:eastAsia="zh-CN"/>
        </w:rPr>
        <w:t>3</w:t>
      </w:r>
      <w:r w:rsidR="00B90350" w:rsidRPr="00367781">
        <w:rPr>
          <w:rFonts w:eastAsia="SimSun"/>
          <w:b/>
          <w:kern w:val="2"/>
          <w:sz w:val="22"/>
          <w:szCs w:val="22"/>
          <w:lang w:val="en-US" w:eastAsia="zh-CN"/>
        </w:rPr>
        <w:t>GPP TSG RAN WG1 Meeting #10</w:t>
      </w:r>
      <w:r w:rsidR="00156B20">
        <w:rPr>
          <w:rFonts w:eastAsia="SimSun"/>
          <w:b/>
          <w:kern w:val="2"/>
          <w:sz w:val="22"/>
          <w:szCs w:val="22"/>
          <w:lang w:val="en-US" w:eastAsia="zh-CN"/>
        </w:rPr>
        <w:t>9</w:t>
      </w:r>
      <w:r w:rsidR="00B90350" w:rsidRPr="00367781">
        <w:rPr>
          <w:rFonts w:eastAsia="SimSun"/>
          <w:b/>
          <w:kern w:val="2"/>
          <w:sz w:val="22"/>
          <w:szCs w:val="22"/>
          <w:lang w:val="en-US" w:eastAsia="zh-CN"/>
        </w:rPr>
        <w:t>-e</w:t>
      </w:r>
      <w:r w:rsidR="00B57F58">
        <w:rPr>
          <w:rFonts w:eastAsia="SimSun"/>
          <w:b/>
          <w:kern w:val="2"/>
          <w:sz w:val="22"/>
          <w:szCs w:val="22"/>
          <w:lang w:val="en-US" w:eastAsia="zh-CN"/>
        </w:rPr>
        <w:tab/>
      </w:r>
      <w:r w:rsidR="00B57F58" w:rsidRPr="00B57F58">
        <w:rPr>
          <w:rFonts w:eastAsia="SimSun"/>
          <w:b/>
          <w:kern w:val="2"/>
          <w:sz w:val="22"/>
          <w:szCs w:val="22"/>
          <w:lang w:val="en-US" w:eastAsia="zh-CN"/>
        </w:rPr>
        <w:t>R1-</w:t>
      </w:r>
      <w:r w:rsidR="00C70970">
        <w:rPr>
          <w:rFonts w:eastAsia="SimSun"/>
          <w:b/>
          <w:kern w:val="2"/>
          <w:sz w:val="22"/>
          <w:szCs w:val="22"/>
          <w:lang w:val="en-US" w:eastAsia="zh-CN"/>
        </w:rPr>
        <w:t>220</w:t>
      </w:r>
      <w:r w:rsidR="00F36DF1">
        <w:rPr>
          <w:rFonts w:eastAsia="SimSun"/>
          <w:b/>
          <w:kern w:val="2"/>
          <w:sz w:val="22"/>
          <w:szCs w:val="22"/>
          <w:lang w:val="en-US" w:eastAsia="zh-CN"/>
        </w:rPr>
        <w:t>3387</w:t>
      </w:r>
    </w:p>
    <w:p w14:paraId="048B6C35" w14:textId="1B8A299A" w:rsidR="00B90350" w:rsidRPr="00367781" w:rsidRDefault="00734D06" w:rsidP="00B90350">
      <w:pPr>
        <w:autoSpaceDE w:val="0"/>
        <w:autoSpaceDN w:val="0"/>
        <w:adjustRightInd w:val="0"/>
        <w:snapToGrid w:val="0"/>
        <w:spacing w:after="120"/>
        <w:rPr>
          <w:rFonts w:eastAsia="SimSun"/>
          <w:b/>
          <w:sz w:val="22"/>
          <w:szCs w:val="22"/>
          <w:lang w:val="en-US" w:eastAsia="en-US"/>
        </w:rPr>
      </w:pPr>
      <w:r>
        <w:rPr>
          <w:rFonts w:eastAsia="SimSun"/>
          <w:b/>
          <w:kern w:val="2"/>
          <w:sz w:val="22"/>
          <w:szCs w:val="22"/>
          <w:lang w:val="en-US" w:eastAsia="zh-CN"/>
        </w:rPr>
        <w:t>e-M</w:t>
      </w:r>
      <w:r w:rsidR="00B90350" w:rsidRPr="00367781">
        <w:rPr>
          <w:rFonts w:eastAsia="SimSun"/>
          <w:b/>
          <w:kern w:val="2"/>
          <w:sz w:val="22"/>
          <w:szCs w:val="22"/>
          <w:lang w:val="en-US" w:eastAsia="zh-CN"/>
        </w:rPr>
        <w:t xml:space="preserve">eeting, </w:t>
      </w:r>
    </w:p>
    <w:p w14:paraId="73C2CED2" w14:textId="77777777" w:rsidR="00B90350" w:rsidRPr="002C02F3" w:rsidRDefault="00B90350" w:rsidP="00B90350">
      <w:pPr>
        <w:pBdr>
          <w:top w:val="single" w:sz="4" w:space="1" w:color="auto"/>
        </w:pBdr>
        <w:autoSpaceDE w:val="0"/>
        <w:autoSpaceDN w:val="0"/>
        <w:adjustRightInd w:val="0"/>
        <w:snapToGrid w:val="0"/>
        <w:rPr>
          <w:rFonts w:eastAsia="SimSun"/>
          <w:b/>
          <w:kern w:val="2"/>
          <w:sz w:val="16"/>
          <w:szCs w:val="16"/>
          <w:lang w:val="en-US" w:eastAsia="zh-CN"/>
        </w:rPr>
      </w:pPr>
    </w:p>
    <w:p w14:paraId="13853684" w14:textId="39557B1E" w:rsidR="00B90350" w:rsidRPr="00367781" w:rsidRDefault="00693FAD" w:rsidP="00B90350">
      <w:pPr>
        <w:autoSpaceDE w:val="0"/>
        <w:autoSpaceDN w:val="0"/>
        <w:adjustRightInd w:val="0"/>
        <w:snapToGrid w:val="0"/>
        <w:spacing w:after="60"/>
        <w:ind w:left="1555" w:hanging="1555"/>
        <w:rPr>
          <w:rFonts w:eastAsia="SimSun"/>
          <w:b/>
          <w:kern w:val="2"/>
          <w:sz w:val="22"/>
          <w:szCs w:val="22"/>
          <w:lang w:val="en-US" w:eastAsia="zh-CN"/>
        </w:rPr>
      </w:pPr>
      <w:r>
        <w:rPr>
          <w:rFonts w:eastAsia="SimSun"/>
          <w:b/>
          <w:kern w:val="2"/>
          <w:sz w:val="22"/>
          <w:szCs w:val="22"/>
          <w:lang w:val="en-US" w:eastAsia="zh-CN"/>
        </w:rPr>
        <w:t>Agenda Item:</w:t>
      </w:r>
      <w:r>
        <w:rPr>
          <w:rFonts w:eastAsia="SimSun"/>
          <w:b/>
          <w:kern w:val="2"/>
          <w:sz w:val="22"/>
          <w:szCs w:val="22"/>
          <w:lang w:val="en-US" w:eastAsia="zh-CN"/>
        </w:rPr>
        <w:tab/>
      </w:r>
      <w:r w:rsidR="00FA10BE">
        <w:rPr>
          <w:rFonts w:eastAsia="SimSun"/>
          <w:b/>
          <w:kern w:val="2"/>
          <w:sz w:val="22"/>
          <w:szCs w:val="22"/>
          <w:lang w:val="en-US" w:eastAsia="zh-CN"/>
        </w:rPr>
        <w:t>8.16.14</w:t>
      </w:r>
    </w:p>
    <w:p w14:paraId="788932E7" w14:textId="7870CC12"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Source:</w:t>
      </w:r>
      <w:r w:rsidRPr="00367781">
        <w:rPr>
          <w:rFonts w:eastAsia="SimSun"/>
          <w:b/>
          <w:kern w:val="2"/>
          <w:sz w:val="22"/>
          <w:szCs w:val="22"/>
          <w:lang w:val="en-US" w:eastAsia="zh-CN"/>
        </w:rPr>
        <w:tab/>
      </w:r>
      <w:r w:rsidR="00B02BA3" w:rsidRPr="00B02BA3">
        <w:rPr>
          <w:rFonts w:eastAsia="SimSun"/>
          <w:b/>
          <w:kern w:val="2"/>
          <w:sz w:val="22"/>
          <w:szCs w:val="22"/>
          <w:lang w:val="en-US" w:eastAsia="zh-CN"/>
        </w:rPr>
        <w:t>MediaTek Inc.</w:t>
      </w:r>
    </w:p>
    <w:p w14:paraId="4272B6AA" w14:textId="69466C96"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Title:</w:t>
      </w:r>
      <w:r w:rsidRPr="00367781">
        <w:rPr>
          <w:rFonts w:eastAsia="SimSun"/>
          <w:b/>
          <w:kern w:val="2"/>
          <w:sz w:val="22"/>
          <w:szCs w:val="22"/>
          <w:lang w:val="en-US" w:eastAsia="zh-CN"/>
        </w:rPr>
        <w:tab/>
      </w:r>
      <w:r w:rsidR="00C70970" w:rsidRPr="00C70970">
        <w:rPr>
          <w:rFonts w:eastAsia="SimSun"/>
          <w:b/>
          <w:kern w:val="2"/>
          <w:sz w:val="22"/>
          <w:szCs w:val="22"/>
          <w:lang w:val="en-US" w:eastAsia="zh-CN"/>
        </w:rPr>
        <w:t>UE features for IoT over NTN</w:t>
      </w:r>
    </w:p>
    <w:p w14:paraId="45D65D3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Document for:</w:t>
      </w:r>
      <w:r w:rsidRPr="00367781">
        <w:rPr>
          <w:rFonts w:eastAsia="SimSun"/>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SimSun"/>
          <w:b/>
          <w:kern w:val="2"/>
          <w:sz w:val="16"/>
          <w:szCs w:val="16"/>
          <w:lang w:val="en-US" w:eastAsia="zh-CN"/>
        </w:rPr>
      </w:pPr>
    </w:p>
    <w:p w14:paraId="31849030" w14:textId="77777777" w:rsidR="002753B9" w:rsidRPr="00367781" w:rsidRDefault="002753B9" w:rsidP="003221F0">
      <w:pPr>
        <w:rPr>
          <w:rFonts w:eastAsia="Batang"/>
          <w:sz w:val="16"/>
          <w:szCs w:val="16"/>
          <w:lang w:val="en-US" w:eastAsia="ko-KR"/>
        </w:rPr>
      </w:pPr>
    </w:p>
    <w:p w14:paraId="5D4C471D" w14:textId="25EC3E88" w:rsidR="00A54177" w:rsidRPr="00367781" w:rsidRDefault="00A54177" w:rsidP="00103AB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6A03E09C" w14:textId="6E02F364" w:rsidR="00C9183B" w:rsidRPr="00674784" w:rsidRDefault="007C77AE" w:rsidP="0093333E">
      <w:pPr>
        <w:spacing w:after="120"/>
        <w:jc w:val="both"/>
        <w:rPr>
          <w:rFonts w:eastAsiaTheme="minorEastAsia"/>
          <w:sz w:val="22"/>
          <w:szCs w:val="22"/>
          <w:lang w:val="en-US" w:eastAsia="zh-CN"/>
        </w:rPr>
      </w:pPr>
      <w:r w:rsidRPr="00367781">
        <w:rPr>
          <w:rFonts w:eastAsia="Malgun Gothic"/>
          <w:sz w:val="22"/>
          <w:szCs w:val="22"/>
          <w:lang w:val="en-US" w:eastAsia="en-US"/>
        </w:rPr>
        <w:t>In RAN#10</w:t>
      </w:r>
      <w:r w:rsidR="00156B20">
        <w:rPr>
          <w:rFonts w:eastAsia="Malgun Gothic"/>
          <w:sz w:val="22"/>
          <w:szCs w:val="22"/>
          <w:lang w:val="en-US" w:eastAsia="en-US"/>
        </w:rPr>
        <w:t>8</w:t>
      </w:r>
      <w:r w:rsidRPr="00367781">
        <w:rPr>
          <w:rFonts w:eastAsia="Malgun Gothic"/>
          <w:sz w:val="22"/>
          <w:szCs w:val="22"/>
          <w:lang w:val="en-US" w:eastAsia="en-US"/>
        </w:rPr>
        <w:t xml:space="preserve">-e, </w:t>
      </w:r>
      <w:r>
        <w:rPr>
          <w:rFonts w:eastAsia="Malgun Gothic"/>
          <w:sz w:val="22"/>
          <w:szCs w:val="22"/>
          <w:lang w:val="en-US" w:eastAsia="en-US"/>
        </w:rPr>
        <w:t xml:space="preserve">the </w:t>
      </w:r>
      <w:r w:rsidRPr="00367781">
        <w:rPr>
          <w:rFonts w:eastAsia="Malgun Gothic"/>
          <w:sz w:val="22"/>
          <w:szCs w:val="22"/>
          <w:lang w:val="en-US" w:eastAsia="en-US"/>
        </w:rPr>
        <w:t xml:space="preserve">RAN1 UE features </w:t>
      </w:r>
      <w:r>
        <w:rPr>
          <w:rFonts w:eastAsia="Malgun Gothic"/>
          <w:sz w:val="22"/>
          <w:szCs w:val="22"/>
          <w:lang w:val="en-US" w:eastAsia="en-US"/>
        </w:rPr>
        <w:t xml:space="preserve">are </w:t>
      </w:r>
      <w:r w:rsidRPr="00367781">
        <w:rPr>
          <w:rFonts w:eastAsia="Malgun Gothic"/>
          <w:sz w:val="22"/>
          <w:szCs w:val="22"/>
          <w:lang w:val="en-US" w:eastAsia="en-US"/>
        </w:rPr>
        <w:t>provided in [1]</w:t>
      </w:r>
      <w:r w:rsidR="00B02BA3">
        <w:rPr>
          <w:rFonts w:eastAsia="Malgun Gothic"/>
          <w:sz w:val="22"/>
          <w:szCs w:val="22"/>
          <w:lang w:val="en-US" w:eastAsia="en-US"/>
        </w:rPr>
        <w:t xml:space="preserve"> </w:t>
      </w:r>
      <w:r w:rsidR="00B02BA3" w:rsidRPr="00B02BA3">
        <w:rPr>
          <w:rFonts w:eastAsia="Malgun Gothic"/>
          <w:sz w:val="22"/>
          <w:szCs w:val="22"/>
          <w:lang w:val="en-US" w:eastAsia="en-US"/>
        </w:rPr>
        <w:t>for Rel-17 IoT NTN</w:t>
      </w:r>
      <w:r>
        <w:rPr>
          <w:rFonts w:eastAsia="Malgun Gothic"/>
          <w:sz w:val="22"/>
          <w:szCs w:val="22"/>
          <w:lang w:val="en-US" w:eastAsia="en-US"/>
        </w:rPr>
        <w:t xml:space="preserve">. </w:t>
      </w:r>
      <w:r w:rsidR="00E63C05">
        <w:rPr>
          <w:rFonts w:eastAsia="Malgun Gothic"/>
          <w:sz w:val="22"/>
          <w:szCs w:val="22"/>
          <w:lang w:val="en-US" w:eastAsia="en-US"/>
        </w:rPr>
        <w:t>I</w:t>
      </w:r>
      <w:r w:rsidR="00C9183B">
        <w:rPr>
          <w:rFonts w:eastAsia="Malgun Gothic"/>
          <w:sz w:val="22"/>
          <w:szCs w:val="22"/>
          <w:lang w:val="en-US" w:eastAsia="en-US"/>
        </w:rPr>
        <w:t>n this con</w:t>
      </w:r>
      <w:r w:rsidR="00C9183B" w:rsidRPr="00674784">
        <w:rPr>
          <w:rFonts w:eastAsia="Malgun Gothic"/>
          <w:sz w:val="22"/>
          <w:szCs w:val="22"/>
          <w:lang w:val="en-US" w:eastAsia="en-US"/>
        </w:rPr>
        <w:t xml:space="preserve">tribution, we </w:t>
      </w:r>
      <w:r w:rsidR="00E63C05" w:rsidRPr="00674784">
        <w:rPr>
          <w:rFonts w:eastAsiaTheme="minorEastAsia"/>
          <w:sz w:val="22"/>
          <w:szCs w:val="22"/>
          <w:lang w:val="en-US" w:eastAsia="zh-CN"/>
        </w:rPr>
        <w:t xml:space="preserve">provide our perspectives on the update RAN1 UE features. </w:t>
      </w:r>
    </w:p>
    <w:p w14:paraId="5152092A" w14:textId="7F7744D3" w:rsidR="00105B17" w:rsidRDefault="001D7368" w:rsidP="00105B17">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5E8C9EDE" w14:textId="77777777" w:rsidR="00BD6FA7" w:rsidRPr="007F6704" w:rsidRDefault="00BD6FA7" w:rsidP="00BD6FA7">
      <w:pPr>
        <w:spacing w:after="120"/>
        <w:jc w:val="both"/>
        <w:rPr>
          <w:rFonts w:eastAsiaTheme="minorEastAsia"/>
          <w:sz w:val="22"/>
          <w:szCs w:val="22"/>
          <w:lang w:eastAsia="zh-CN"/>
        </w:rPr>
      </w:pPr>
      <w:r w:rsidRPr="007F6704">
        <w:rPr>
          <w:rFonts w:eastAsiaTheme="minorEastAsia"/>
          <w:sz w:val="22"/>
          <w:szCs w:val="22"/>
          <w:lang w:eastAsia="zh-CN"/>
        </w:rPr>
        <w:t>In RAN</w:t>
      </w:r>
      <w:r>
        <w:rPr>
          <w:rFonts w:eastAsiaTheme="minorEastAsia"/>
          <w:sz w:val="22"/>
          <w:szCs w:val="22"/>
          <w:lang w:eastAsia="zh-CN"/>
        </w:rPr>
        <w:t>1</w:t>
      </w:r>
      <w:r w:rsidRPr="007F6704">
        <w:rPr>
          <w:rFonts w:eastAsiaTheme="minorEastAsia"/>
          <w:sz w:val="22"/>
          <w:szCs w:val="22"/>
          <w:lang w:eastAsia="zh-CN"/>
        </w:rPr>
        <w:t xml:space="preserve"> #10</w:t>
      </w:r>
      <w:r>
        <w:rPr>
          <w:rFonts w:eastAsiaTheme="minorEastAsia"/>
          <w:sz w:val="22"/>
          <w:szCs w:val="22"/>
          <w:lang w:eastAsia="zh-CN"/>
        </w:rPr>
        <w:t>7</w:t>
      </w:r>
      <w:r w:rsidRPr="007F6704">
        <w:rPr>
          <w:rFonts w:eastAsiaTheme="minorEastAsia"/>
          <w:sz w:val="22"/>
          <w:szCs w:val="22"/>
          <w:lang w:eastAsia="zh-CN"/>
        </w:rPr>
        <w:t xml:space="preserve">-e, </w:t>
      </w:r>
      <w:r w:rsidRPr="00CD06D1">
        <w:rPr>
          <w:rFonts w:eastAsiaTheme="minorEastAsia"/>
          <w:sz w:val="22"/>
          <w:szCs w:val="22"/>
          <w:lang w:eastAsia="zh-CN"/>
        </w:rPr>
        <w:t>UL Segmented transmission</w:t>
      </w:r>
      <w:r w:rsidRPr="007F6704">
        <w:rPr>
          <w:rFonts w:eastAsiaTheme="minorEastAsia"/>
          <w:sz w:val="22"/>
          <w:szCs w:val="22"/>
          <w:lang w:eastAsia="zh-CN"/>
        </w:rPr>
        <w:t xml:space="preserve"> w</w:t>
      </w:r>
      <w:r>
        <w:rPr>
          <w:rFonts w:eastAsiaTheme="minorEastAsia"/>
          <w:sz w:val="22"/>
          <w:szCs w:val="22"/>
          <w:lang w:eastAsia="zh-CN"/>
        </w:rPr>
        <w:t>as</w:t>
      </w:r>
      <w:r w:rsidRPr="007F6704">
        <w:rPr>
          <w:rFonts w:eastAsiaTheme="minorEastAsia"/>
          <w:sz w:val="22"/>
          <w:szCs w:val="22"/>
          <w:lang w:eastAsia="zh-CN"/>
        </w:rPr>
        <w:t xml:space="preserve"> discussed</w:t>
      </w:r>
      <w:r>
        <w:rPr>
          <w:rFonts w:eastAsiaTheme="minorEastAsia"/>
          <w:sz w:val="22"/>
          <w:szCs w:val="22"/>
          <w:lang w:eastAsia="zh-CN"/>
        </w:rPr>
        <w:t>,</w:t>
      </w:r>
      <w:r w:rsidRPr="007F6704">
        <w:rPr>
          <w:rFonts w:eastAsiaTheme="minorEastAsia"/>
          <w:sz w:val="22"/>
          <w:szCs w:val="22"/>
          <w:lang w:eastAsia="zh-CN"/>
        </w:rPr>
        <w:t xml:space="preserve"> and the following agreement</w:t>
      </w:r>
      <w:r>
        <w:rPr>
          <w:rFonts w:eastAsiaTheme="minorEastAsia"/>
          <w:sz w:val="22"/>
          <w:szCs w:val="22"/>
          <w:lang w:eastAsia="zh-CN"/>
        </w:rPr>
        <w:t>s</w:t>
      </w:r>
      <w:r w:rsidRPr="007F6704">
        <w:rPr>
          <w:rFonts w:eastAsiaTheme="minorEastAsia"/>
          <w:sz w:val="22"/>
          <w:szCs w:val="22"/>
          <w:lang w:eastAsia="zh-CN"/>
        </w:rPr>
        <w:t xml:space="preserve"> w</w:t>
      </w:r>
      <w:r>
        <w:rPr>
          <w:rFonts w:eastAsiaTheme="minorEastAsia"/>
          <w:sz w:val="22"/>
          <w:szCs w:val="22"/>
          <w:lang w:eastAsia="zh-CN"/>
        </w:rPr>
        <w:t>ere</w:t>
      </w:r>
      <w:r w:rsidRPr="007F6704">
        <w:rPr>
          <w:rFonts w:eastAsiaTheme="minorEastAsia"/>
          <w:sz w:val="22"/>
          <w:szCs w:val="22"/>
          <w:lang w:eastAsia="zh-CN"/>
        </w:rPr>
        <w:t xml:space="preserve"> </w:t>
      </w:r>
      <w:r>
        <w:rPr>
          <w:rFonts w:eastAsiaTheme="minorEastAsia"/>
          <w:sz w:val="22"/>
          <w:szCs w:val="22"/>
          <w:lang w:eastAsia="zh-CN"/>
        </w:rPr>
        <w:t xml:space="preserve">made for </w:t>
      </w:r>
      <w:r w:rsidRPr="001D6D9A">
        <w:rPr>
          <w:rFonts w:eastAsiaTheme="minorEastAsia"/>
          <w:sz w:val="22"/>
          <w:szCs w:val="22"/>
          <w:lang w:eastAsia="zh-CN"/>
        </w:rPr>
        <w:t>NPUSCH for NB-IoT and PUSCH/PUCCH for eMTC</w:t>
      </w:r>
      <w:r>
        <w:rPr>
          <w:rFonts w:eastAsiaTheme="minorEastAsia"/>
          <w:sz w:val="22"/>
          <w:szCs w:val="22"/>
          <w:lang w:eastAsia="zh-CN"/>
        </w:rPr>
        <w:t>:</w:t>
      </w:r>
    </w:p>
    <w:tbl>
      <w:tblPr>
        <w:tblStyle w:val="TableGrid"/>
        <w:tblW w:w="0" w:type="auto"/>
        <w:tblLook w:val="04A0" w:firstRow="1" w:lastRow="0" w:firstColumn="1" w:lastColumn="0" w:noHBand="0" w:noVBand="1"/>
      </w:tblPr>
      <w:tblGrid>
        <w:gridCol w:w="9350"/>
      </w:tblGrid>
      <w:tr w:rsidR="00BD6FA7" w:rsidRPr="007F6704" w14:paraId="31CFDBD2" w14:textId="77777777" w:rsidTr="00A52BDA">
        <w:tc>
          <w:tcPr>
            <w:tcW w:w="9350" w:type="dxa"/>
          </w:tcPr>
          <w:p w14:paraId="46AC8FAE" w14:textId="38AC696E" w:rsidR="00BD6FA7" w:rsidRPr="00CE5A09" w:rsidRDefault="00BD6FA7" w:rsidP="00A52BDA">
            <w:pPr>
              <w:rPr>
                <w:rFonts w:eastAsia="MS Mincho"/>
                <w:color w:val="000000"/>
                <w:sz w:val="22"/>
                <w:szCs w:val="22"/>
                <w:u w:val="single"/>
              </w:rPr>
            </w:pPr>
            <w:r w:rsidRPr="00E14692">
              <w:rPr>
                <w:rFonts w:eastAsia="Times New Roman"/>
                <w:color w:val="000000"/>
                <w:sz w:val="22"/>
                <w:szCs w:val="22"/>
                <w:u w:val="single"/>
              </w:rPr>
              <w:t>For NPUSCH for NB-IoT and PUSCH/PUCCH for eMTC:</w:t>
            </w:r>
          </w:p>
          <w:p w14:paraId="6510DE40" w14:textId="77777777" w:rsidR="00BD6FA7" w:rsidRPr="00E14692" w:rsidRDefault="00BD6FA7" w:rsidP="00A52BDA">
            <w:pPr>
              <w:rPr>
                <w:b/>
                <w:sz w:val="22"/>
                <w:szCs w:val="22"/>
              </w:rPr>
            </w:pPr>
            <w:r w:rsidRPr="00E14692">
              <w:rPr>
                <w:b/>
                <w:sz w:val="22"/>
                <w:szCs w:val="22"/>
                <w:highlight w:val="green"/>
              </w:rPr>
              <w:t>Agreement</w:t>
            </w:r>
          </w:p>
          <w:p w14:paraId="532B277F" w14:textId="77777777" w:rsidR="00BD6FA7" w:rsidRPr="00E14692" w:rsidRDefault="00BD6FA7" w:rsidP="00A52BDA">
            <w:pPr>
              <w:rPr>
                <w:rFonts w:eastAsia="SimSun"/>
                <w:sz w:val="22"/>
                <w:szCs w:val="22"/>
                <w:lang w:eastAsia="zh-CN"/>
              </w:rPr>
            </w:pPr>
            <w:r w:rsidRPr="00E14692">
              <w:rPr>
                <w:rFonts w:eastAsia="SimSun"/>
                <w:sz w:val="22"/>
                <w:szCs w:val="22"/>
                <w:lang w:eastAsia="zh-CN"/>
              </w:rPr>
              <w:t>UE pre-compensation per segment of NPUSCH for NB-IoT and PUSCH/PUCCH for eMTC is applied from one segment to the next segment by using one or more of the following methods if supported by UE implementation</w:t>
            </w:r>
          </w:p>
          <w:p w14:paraId="399722B5" w14:textId="77777777" w:rsidR="00BD6FA7" w:rsidRPr="00E14692" w:rsidRDefault="00BD6FA7" w:rsidP="00A52BDA">
            <w:pPr>
              <w:rPr>
                <w:rFonts w:eastAsia="Times New Roman"/>
                <w:color w:val="000000"/>
                <w:sz w:val="22"/>
                <w:szCs w:val="22"/>
              </w:rPr>
            </w:pPr>
            <w:r w:rsidRPr="00E14692">
              <w:rPr>
                <w:rFonts w:eastAsia="Times New Roman"/>
                <w:color w:val="000000"/>
                <w:sz w:val="22"/>
                <w:szCs w:val="22"/>
              </w:rPr>
              <w:t xml:space="preserve">       1. UE may drop / Insert samples / Puncture OFDM symbols  </w:t>
            </w:r>
          </w:p>
          <w:p w14:paraId="761B3EFC" w14:textId="77777777" w:rsidR="00BD6FA7" w:rsidRPr="00E14692" w:rsidRDefault="00BD6FA7" w:rsidP="00A52BDA">
            <w:pPr>
              <w:rPr>
                <w:rFonts w:eastAsia="Times New Roman"/>
                <w:color w:val="000000"/>
                <w:sz w:val="22"/>
                <w:szCs w:val="22"/>
              </w:rPr>
            </w:pPr>
            <w:r w:rsidRPr="00E14692">
              <w:rPr>
                <w:rFonts w:eastAsia="Times New Roman"/>
                <w:color w:val="000000"/>
                <w:sz w:val="22"/>
                <w:szCs w:val="22"/>
              </w:rPr>
              <w:t xml:space="preserve">       2. UE may blank subframes / slots where UE skip a slot or a subframe</w:t>
            </w:r>
          </w:p>
          <w:p w14:paraId="0E4C4375" w14:textId="77777777" w:rsidR="00BD6FA7" w:rsidRPr="00E14692" w:rsidRDefault="00BD6FA7" w:rsidP="00A52BDA">
            <w:pPr>
              <w:rPr>
                <w:rFonts w:eastAsia="SimSun"/>
                <w:sz w:val="22"/>
                <w:szCs w:val="22"/>
                <w:lang w:eastAsia="zh-CN"/>
              </w:rPr>
            </w:pPr>
            <w:r w:rsidRPr="00E14692">
              <w:rPr>
                <w:rFonts w:eastAsia="SimSun"/>
                <w:sz w:val="22"/>
                <w:szCs w:val="22"/>
                <w:lang w:eastAsia="zh-CN"/>
              </w:rPr>
              <w:t>The total transmission time is not changed</w:t>
            </w:r>
          </w:p>
          <w:p w14:paraId="1EC4A75D" w14:textId="77777777" w:rsidR="00BD6FA7" w:rsidRPr="00E14692" w:rsidRDefault="00BD6FA7" w:rsidP="00A52BDA">
            <w:pPr>
              <w:rPr>
                <w:rFonts w:eastAsia="SimSun"/>
                <w:sz w:val="22"/>
                <w:szCs w:val="22"/>
                <w:lang w:eastAsia="zh-CN"/>
              </w:rPr>
            </w:pPr>
            <w:r w:rsidRPr="00E14692">
              <w:rPr>
                <w:rFonts w:eastAsia="SimSun"/>
                <w:sz w:val="22"/>
                <w:szCs w:val="22"/>
                <w:lang w:eastAsia="zh-CN"/>
              </w:rPr>
              <w:t>UE autonomously Drop / insert samples / Puncture OFDM symbols or Blank subframes / slots where UE drops a subframe / slot</w:t>
            </w:r>
          </w:p>
          <w:p w14:paraId="795555AD" w14:textId="77777777" w:rsidR="00BD6FA7" w:rsidRPr="00E14692" w:rsidRDefault="00BD6FA7" w:rsidP="00A52BDA">
            <w:pPr>
              <w:rPr>
                <w:rFonts w:eastAsia="SimSun"/>
                <w:sz w:val="22"/>
                <w:szCs w:val="22"/>
                <w:lang w:eastAsia="zh-CN"/>
              </w:rPr>
            </w:pPr>
            <w:bookmarkStart w:id="0" w:name="_Hlk93507793"/>
            <w:r w:rsidRPr="00E14692">
              <w:rPr>
                <w:rFonts w:eastAsia="SimSun"/>
                <w:sz w:val="22"/>
                <w:szCs w:val="22"/>
                <w:lang w:eastAsia="zh-CN"/>
              </w:rPr>
              <w:t xml:space="preserve">The method used for the UE pre-compensation is known to the eNB by a single UE capability </w:t>
            </w:r>
            <w:bookmarkEnd w:id="0"/>
          </w:p>
          <w:p w14:paraId="59C4C535" w14:textId="77777777" w:rsidR="00BD6FA7" w:rsidRPr="00E14692" w:rsidRDefault="00BD6FA7" w:rsidP="00BD6FA7">
            <w:pPr>
              <w:pStyle w:val="ListParagraph"/>
              <w:numPr>
                <w:ilvl w:val="0"/>
                <w:numId w:val="14"/>
              </w:numPr>
              <w:ind w:leftChars="0"/>
              <w:rPr>
                <w:rFonts w:eastAsia="SimSun"/>
                <w:sz w:val="22"/>
                <w:szCs w:val="22"/>
                <w:lang w:eastAsia="zh-CN"/>
              </w:rPr>
            </w:pPr>
            <w:r w:rsidRPr="00E14692">
              <w:rPr>
                <w:rFonts w:eastAsia="SimSun"/>
                <w:sz w:val="22"/>
                <w:szCs w:val="22"/>
                <w:lang w:eastAsia="zh-CN"/>
              </w:rPr>
              <w:t>UE Blank subframes / slots where UE skip a slot or a subframe (slot is based on Sub Carrier Spacing)</w:t>
            </w:r>
          </w:p>
          <w:p w14:paraId="45BAFEDA" w14:textId="5248F978" w:rsidR="00BD6FA7" w:rsidRPr="00CE5A09" w:rsidRDefault="00BD6FA7" w:rsidP="00A52BDA">
            <w:pPr>
              <w:rPr>
                <w:rFonts w:eastAsia="SimSun"/>
                <w:color w:val="FF0000"/>
                <w:sz w:val="22"/>
                <w:szCs w:val="22"/>
                <w:lang w:eastAsia="zh-CN"/>
              </w:rPr>
            </w:pPr>
            <w:r w:rsidRPr="00E14692">
              <w:rPr>
                <w:rFonts w:eastAsia="SimSun"/>
                <w:color w:val="FF0000"/>
                <w:sz w:val="22"/>
                <w:szCs w:val="22"/>
                <w:lang w:eastAsia="zh-CN"/>
              </w:rPr>
              <w:t xml:space="preserve">FFS Details of method(s) to drop / insert samples, blanking subframes / slots (slot is based on Sub Carrier Spacing) </w:t>
            </w:r>
          </w:p>
        </w:tc>
      </w:tr>
    </w:tbl>
    <w:p w14:paraId="0E30CCFA" w14:textId="77777777" w:rsidR="00BD6FA7" w:rsidRDefault="00BD6FA7" w:rsidP="00BD6FA7">
      <w:pPr>
        <w:spacing w:after="120"/>
        <w:jc w:val="both"/>
        <w:rPr>
          <w:rFonts w:eastAsiaTheme="minorEastAsia"/>
          <w:sz w:val="22"/>
          <w:szCs w:val="22"/>
          <w:lang w:eastAsia="zh-CN"/>
        </w:rPr>
      </w:pPr>
    </w:p>
    <w:p w14:paraId="01344374" w14:textId="0FE5C269" w:rsidR="00BD6FA7" w:rsidRDefault="00BD6FA7" w:rsidP="00BD6FA7">
      <w:pPr>
        <w:spacing w:after="120"/>
        <w:jc w:val="both"/>
        <w:rPr>
          <w:rFonts w:eastAsiaTheme="minorEastAsia"/>
          <w:sz w:val="22"/>
          <w:szCs w:val="22"/>
          <w:lang w:eastAsia="zh-CN"/>
        </w:rPr>
      </w:pPr>
      <w:r>
        <w:rPr>
          <w:rFonts w:eastAsiaTheme="minorEastAsia"/>
          <w:sz w:val="22"/>
          <w:szCs w:val="22"/>
          <w:lang w:eastAsia="zh-CN"/>
        </w:rPr>
        <w:t xml:space="preserve">In case the UE can support several methods to drop </w:t>
      </w:r>
      <w:r w:rsidRPr="00C24246">
        <w:rPr>
          <w:rFonts w:eastAsiaTheme="minorEastAsia"/>
          <w:sz w:val="22"/>
          <w:szCs w:val="22"/>
          <w:lang w:eastAsia="zh-CN"/>
        </w:rPr>
        <w:t>durations of uplink transmission between segments</w:t>
      </w:r>
      <w:r>
        <w:rPr>
          <w:rFonts w:eastAsiaTheme="minorEastAsia"/>
          <w:sz w:val="22"/>
          <w:szCs w:val="22"/>
          <w:lang w:eastAsia="zh-CN"/>
        </w:rPr>
        <w:t>, it seems highly desirable that the UE always drops the shortest duration of uplink transmission to minimize the SNR loss at eNB receiver. The shortest duration should be as close to the timing adjustment corresponding to the TA calculated by the UE based on its GNSS location, the ephemeris, and common TA parameters if signalled. Note that in case the UE implementation can only support dropping of 2 slots, then it can only report 2 slots for its UE capability; if UE can drop one symbol, then this is sufficient to accommodate the maxim timing adjustment for the longest UL transmission segment, and there would be no need to drop one slot or 2 slots which would un-necessarily degrade SNR; if</w:t>
      </w:r>
      <w:r w:rsidR="008D2012">
        <w:rPr>
          <w:rFonts w:eastAsiaTheme="minorEastAsia"/>
          <w:sz w:val="22"/>
          <w:szCs w:val="22"/>
          <w:lang w:eastAsia="zh-CN"/>
        </w:rPr>
        <w:t xml:space="preserve"> </w:t>
      </w:r>
      <w:r>
        <w:rPr>
          <w:rFonts w:eastAsiaTheme="minorEastAsia"/>
          <w:sz w:val="22"/>
          <w:szCs w:val="22"/>
          <w:lang w:eastAsia="zh-CN"/>
        </w:rPr>
        <w:t xml:space="preserve">UE can optimally drops samples between segments then the there is no need for reporting of UE capability. </w:t>
      </w:r>
      <w:r w:rsidR="00DB1BAA" w:rsidRPr="00E14692">
        <w:rPr>
          <w:rFonts w:eastAsia="SimSun"/>
          <w:sz w:val="22"/>
          <w:szCs w:val="22"/>
          <w:lang w:eastAsia="zh-CN"/>
        </w:rPr>
        <w:t>The method used for the UE pre-compensation is known to the eNB by a single UE capability</w:t>
      </w:r>
      <w:r w:rsidR="00DB1BAA">
        <w:rPr>
          <w:rFonts w:eastAsia="SimSun"/>
          <w:sz w:val="22"/>
          <w:szCs w:val="22"/>
          <w:lang w:eastAsia="zh-CN"/>
        </w:rPr>
        <w:t>.</w:t>
      </w:r>
    </w:p>
    <w:p w14:paraId="116E13D1" w14:textId="7FCB774C" w:rsidR="00864741" w:rsidRPr="00864741" w:rsidRDefault="00BD6FA7" w:rsidP="00DB1BAA">
      <w:pPr>
        <w:spacing w:after="120"/>
        <w:jc w:val="both"/>
        <w:rPr>
          <w:rFonts w:eastAsiaTheme="minorEastAsia"/>
          <w:i/>
          <w:iCs/>
          <w:sz w:val="22"/>
          <w:szCs w:val="22"/>
          <w:lang w:val="en-US" w:eastAsia="zh-CN"/>
        </w:rPr>
      </w:pPr>
      <w:r w:rsidRPr="00C24246">
        <w:rPr>
          <w:rFonts w:eastAsiaTheme="minorEastAsia"/>
          <w:b/>
          <w:bCs/>
          <w:i/>
          <w:iCs/>
          <w:sz w:val="22"/>
          <w:szCs w:val="22"/>
          <w:lang w:eastAsia="zh-CN"/>
        </w:rPr>
        <w:t xml:space="preserve">Proposal </w:t>
      </w:r>
      <w:r w:rsidR="00DB1BAA">
        <w:rPr>
          <w:rFonts w:eastAsiaTheme="minorEastAsia"/>
          <w:b/>
          <w:bCs/>
          <w:i/>
          <w:iCs/>
          <w:sz w:val="22"/>
          <w:szCs w:val="22"/>
          <w:lang w:eastAsia="zh-CN"/>
        </w:rPr>
        <w:t>1</w:t>
      </w:r>
      <w:r w:rsidRPr="00C24246">
        <w:rPr>
          <w:rFonts w:eastAsiaTheme="minorEastAsia"/>
          <w:i/>
          <w:iCs/>
          <w:sz w:val="22"/>
          <w:szCs w:val="22"/>
          <w:lang w:eastAsia="zh-CN"/>
        </w:rPr>
        <w:t xml:space="preserve">: </w:t>
      </w:r>
      <w:r w:rsidR="00DB1BAA">
        <w:rPr>
          <w:rFonts w:eastAsiaTheme="minorEastAsia"/>
          <w:i/>
          <w:iCs/>
          <w:sz w:val="22"/>
          <w:szCs w:val="22"/>
          <w:lang w:eastAsia="zh-CN"/>
        </w:rPr>
        <w:t>a</w:t>
      </w:r>
      <w:r w:rsidR="00DB1BAA" w:rsidRPr="00864741">
        <w:rPr>
          <w:rFonts w:eastAsiaTheme="minorEastAsia"/>
          <w:i/>
          <w:iCs/>
          <w:sz w:val="22"/>
          <w:szCs w:val="22"/>
          <w:lang w:val="en-US" w:eastAsia="zh-CN"/>
        </w:rPr>
        <w:t>dd new text underlined for component 2-1a " 1. Support UE applies segmented UL transmission according to duration configuration by the network </w:t>
      </w:r>
      <w:r w:rsidR="00DB1BAA" w:rsidRPr="00864741">
        <w:rPr>
          <w:rFonts w:eastAsiaTheme="minorEastAsia"/>
          <w:i/>
          <w:iCs/>
          <w:color w:val="FF0000"/>
          <w:sz w:val="22"/>
          <w:szCs w:val="22"/>
          <w:u w:val="single"/>
          <w:lang w:val="en-US" w:eastAsia="zh-CN"/>
        </w:rPr>
        <w:t>based on a single UE capability</w:t>
      </w:r>
      <w:r w:rsidR="00DB1BAA" w:rsidRPr="00864741">
        <w:rPr>
          <w:rFonts w:eastAsiaTheme="minorEastAsia"/>
          <w:i/>
          <w:iCs/>
          <w:sz w:val="22"/>
          <w:szCs w:val="22"/>
          <w:lang w:val="en-US" w:eastAsia="zh-CN"/>
        </w:rPr>
        <w:t>"</w:t>
      </w:r>
      <w:r w:rsidR="00DB1BAA">
        <w:rPr>
          <w:rFonts w:eastAsiaTheme="minorEastAsia"/>
          <w:i/>
          <w:iCs/>
          <w:sz w:val="22"/>
          <w:szCs w:val="22"/>
          <w:lang w:val="en-US" w:eastAsia="zh-CN"/>
        </w:rPr>
        <w:t>.</w:t>
      </w:r>
    </w:p>
    <w:p w14:paraId="46FAE1B0" w14:textId="06EDF9F5" w:rsidR="00864741" w:rsidRPr="00864741" w:rsidRDefault="00DB1BAA" w:rsidP="00864741">
      <w:pPr>
        <w:shd w:val="clear" w:color="auto" w:fill="FFFFFF"/>
        <w:rPr>
          <w:rFonts w:eastAsia="SimSun"/>
          <w:i/>
          <w:iCs/>
          <w:color w:val="242424"/>
          <w:sz w:val="21"/>
          <w:szCs w:val="21"/>
          <w:lang w:val="en-US" w:eastAsia="zh-CN"/>
        </w:rPr>
      </w:pPr>
      <w:r w:rsidRPr="00C24246">
        <w:rPr>
          <w:rFonts w:eastAsiaTheme="minorEastAsia"/>
          <w:b/>
          <w:bCs/>
          <w:i/>
          <w:iCs/>
          <w:sz w:val="22"/>
          <w:szCs w:val="22"/>
          <w:lang w:eastAsia="zh-CN"/>
        </w:rPr>
        <w:t xml:space="preserve">Proposal </w:t>
      </w:r>
      <w:r>
        <w:rPr>
          <w:rFonts w:eastAsiaTheme="minorEastAsia"/>
          <w:b/>
          <w:bCs/>
          <w:i/>
          <w:iCs/>
          <w:sz w:val="22"/>
          <w:szCs w:val="22"/>
          <w:lang w:eastAsia="zh-CN"/>
        </w:rPr>
        <w:t>2</w:t>
      </w:r>
      <w:r w:rsidRPr="00C24246">
        <w:rPr>
          <w:rFonts w:eastAsiaTheme="minorEastAsia"/>
          <w:i/>
          <w:iCs/>
          <w:sz w:val="22"/>
          <w:szCs w:val="22"/>
          <w:lang w:eastAsia="zh-CN"/>
        </w:rPr>
        <w:t>:</w:t>
      </w:r>
      <w:r w:rsidR="00864741" w:rsidRPr="00864741">
        <w:rPr>
          <w:rFonts w:ascii="Segoe UI" w:eastAsia="SimSun" w:hAnsi="Segoe UI" w:cs="Segoe UI"/>
          <w:color w:val="242424"/>
          <w:sz w:val="22"/>
          <w:szCs w:val="22"/>
          <w:lang w:val="en-US" w:eastAsia="zh-CN"/>
        </w:rPr>
        <w:t xml:space="preserve"> </w:t>
      </w:r>
      <w:r w:rsidR="00864741" w:rsidRPr="00864741">
        <w:rPr>
          <w:rFonts w:eastAsia="SimSun"/>
          <w:i/>
          <w:iCs/>
          <w:color w:val="242424"/>
          <w:sz w:val="22"/>
          <w:szCs w:val="22"/>
          <w:lang w:val="en-US" w:eastAsia="zh-CN"/>
        </w:rPr>
        <w:t>Send LS to RAN2 to specify a single UE capability will be specified by RAN2 in TS 36.30</w:t>
      </w:r>
      <w:r>
        <w:rPr>
          <w:rFonts w:eastAsia="SimSun"/>
          <w:i/>
          <w:iCs/>
          <w:color w:val="242424"/>
          <w:sz w:val="22"/>
          <w:szCs w:val="22"/>
          <w:lang w:val="en-US" w:eastAsia="zh-CN"/>
        </w:rPr>
        <w:t>6</w:t>
      </w:r>
    </w:p>
    <w:p w14:paraId="21B0EF96" w14:textId="77777777" w:rsidR="00864741" w:rsidRPr="00864741" w:rsidRDefault="00864741" w:rsidP="00864741">
      <w:pPr>
        <w:shd w:val="clear" w:color="auto" w:fill="FFFFFF"/>
        <w:rPr>
          <w:rFonts w:eastAsia="SimSun"/>
          <w:i/>
          <w:iCs/>
          <w:color w:val="242424"/>
          <w:sz w:val="21"/>
          <w:szCs w:val="21"/>
          <w:lang w:val="en-US" w:eastAsia="zh-CN"/>
        </w:rPr>
      </w:pPr>
      <w:r w:rsidRPr="00864741">
        <w:rPr>
          <w:rFonts w:eastAsia="SimSun"/>
          <w:i/>
          <w:iCs/>
          <w:color w:val="242424"/>
          <w:sz w:val="22"/>
          <w:szCs w:val="22"/>
          <w:lang w:val="en-US" w:eastAsia="zh-CN"/>
        </w:rPr>
        <w:t>Note: When a single capability is signaled: UE drops one of the following durations of uplink transmission between segments (indicated by the capability):</w:t>
      </w:r>
    </w:p>
    <w:p w14:paraId="1BE40E62" w14:textId="77777777" w:rsidR="00864741" w:rsidRPr="00864741" w:rsidRDefault="00864741" w:rsidP="00864741">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lastRenderedPageBreak/>
        <w:t>1 slot (applicable to eMTC)</w:t>
      </w:r>
    </w:p>
    <w:p w14:paraId="1708849E" w14:textId="77777777" w:rsidR="00864741" w:rsidRPr="00864741" w:rsidRDefault="00864741" w:rsidP="00864741">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t>1 subframe (applicable to eMTC)</w:t>
      </w:r>
    </w:p>
    <w:p w14:paraId="3CD47206" w14:textId="77777777" w:rsidR="00864741" w:rsidRPr="00864741" w:rsidRDefault="00864741" w:rsidP="00864741">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t>1 slot (applicable to NB-IoT)</w:t>
      </w:r>
    </w:p>
    <w:p w14:paraId="3D2714BD" w14:textId="77777777" w:rsidR="00864741" w:rsidRPr="00864741" w:rsidRDefault="00864741" w:rsidP="00864741">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t>2 slots (applicable to NB-IoT)</w:t>
      </w:r>
    </w:p>
    <w:p w14:paraId="1F537838" w14:textId="77777777" w:rsidR="00864741" w:rsidRPr="00864741" w:rsidRDefault="00864741" w:rsidP="00864741">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t>1 symbol (applicable to both eMTC and NB-IoT)</w:t>
      </w:r>
    </w:p>
    <w:p w14:paraId="62A48C57" w14:textId="0EA2C373" w:rsidR="00BD6FA7" w:rsidRPr="00DB1BAA" w:rsidRDefault="00864741" w:rsidP="00DB1BAA">
      <w:pPr>
        <w:shd w:val="clear" w:color="auto" w:fill="FFFFFF"/>
        <w:rPr>
          <w:rFonts w:eastAsia="SimSun"/>
          <w:i/>
          <w:iCs/>
          <w:color w:val="242424"/>
          <w:sz w:val="21"/>
          <w:szCs w:val="21"/>
          <w:lang w:val="en-US" w:eastAsia="zh-CN"/>
        </w:rPr>
      </w:pPr>
      <w:r w:rsidRPr="00864741">
        <w:rPr>
          <w:rFonts w:eastAsia="SimSun"/>
          <w:i/>
          <w:iCs/>
          <w:color w:val="242424"/>
          <w:sz w:val="22"/>
          <w:szCs w:val="22"/>
          <w:lang w:val="en-US" w:eastAsia="zh-CN"/>
        </w:rPr>
        <w:t xml:space="preserve">When capability is NOT </w:t>
      </w:r>
      <w:proofErr w:type="spellStart"/>
      <w:r w:rsidRPr="00864741">
        <w:rPr>
          <w:rFonts w:eastAsia="SimSun"/>
          <w:i/>
          <w:iCs/>
          <w:color w:val="242424"/>
          <w:sz w:val="22"/>
          <w:szCs w:val="22"/>
          <w:lang w:val="en-US" w:eastAsia="zh-CN"/>
        </w:rPr>
        <w:t>signalled</w:t>
      </w:r>
      <w:proofErr w:type="spellEnd"/>
      <w:r w:rsidRPr="00864741">
        <w:rPr>
          <w:rFonts w:eastAsia="SimSun"/>
          <w:i/>
          <w:iCs/>
          <w:color w:val="242424"/>
          <w:sz w:val="22"/>
          <w:szCs w:val="22"/>
          <w:lang w:val="en-US" w:eastAsia="zh-CN"/>
        </w:rPr>
        <w:t>: UE follows legacy behavior at slot boundaries due to TA adjustment</w:t>
      </w:r>
    </w:p>
    <w:p w14:paraId="03C64489" w14:textId="77777777" w:rsidR="00367781" w:rsidRPr="00367781" w:rsidRDefault="00367781" w:rsidP="00094475">
      <w:pPr>
        <w:pStyle w:val="Heading1"/>
        <w:jc w:val="both"/>
        <w:rPr>
          <w:rFonts w:ascii="Times New Roman" w:hAnsi="Times New Roman"/>
          <w:b/>
        </w:rPr>
      </w:pPr>
      <w:r w:rsidRPr="00367781">
        <w:rPr>
          <w:rFonts w:ascii="Times New Roman" w:hAnsi="Times New Roman"/>
          <w:b/>
        </w:rPr>
        <w:t>Conclusion</w:t>
      </w:r>
    </w:p>
    <w:p w14:paraId="683FED72" w14:textId="7D4F9DCE" w:rsidR="00367781" w:rsidRPr="00367781" w:rsidRDefault="00367781" w:rsidP="00D64F66">
      <w:pPr>
        <w:spacing w:after="120"/>
        <w:jc w:val="both"/>
        <w:rPr>
          <w:sz w:val="22"/>
        </w:rPr>
      </w:pPr>
      <w:r w:rsidRPr="00367781">
        <w:rPr>
          <w:sz w:val="22"/>
        </w:rPr>
        <w:t>In this contribution, we discuss the</w:t>
      </w:r>
      <w:r w:rsidRPr="00367781">
        <w:rPr>
          <w:sz w:val="22"/>
          <w:lang w:eastAsia="x-none"/>
        </w:rPr>
        <w:t xml:space="preserve"> Rel-17 UE features for </w:t>
      </w:r>
      <w:r w:rsidR="00686E59">
        <w:rPr>
          <w:sz w:val="22"/>
          <w:lang w:eastAsia="x-none"/>
        </w:rPr>
        <w:t xml:space="preserve">NB-IoT and eMTC </w:t>
      </w:r>
      <w:r w:rsidR="007453A8">
        <w:rPr>
          <w:sz w:val="22"/>
          <w:lang w:eastAsia="x-none"/>
        </w:rPr>
        <w:t xml:space="preserve">over </w:t>
      </w:r>
      <w:r w:rsidR="00686E59">
        <w:rPr>
          <w:sz w:val="22"/>
          <w:lang w:eastAsia="x-none"/>
        </w:rPr>
        <w:t>NTN</w:t>
      </w:r>
      <w:r>
        <w:rPr>
          <w:sz w:val="22"/>
          <w:lang w:eastAsia="x-none"/>
        </w:rPr>
        <w:t>.</w:t>
      </w:r>
      <w:r w:rsidRPr="00367781">
        <w:rPr>
          <w:sz w:val="22"/>
        </w:rPr>
        <w:t xml:space="preserve"> The following proposals are presented:</w:t>
      </w:r>
    </w:p>
    <w:p w14:paraId="16939B08" w14:textId="77777777" w:rsidR="00DB1BAA" w:rsidRPr="00864741" w:rsidRDefault="00DB1BAA" w:rsidP="00DB1BAA">
      <w:pPr>
        <w:spacing w:after="120"/>
        <w:jc w:val="both"/>
        <w:rPr>
          <w:rFonts w:eastAsiaTheme="minorEastAsia"/>
          <w:i/>
          <w:iCs/>
          <w:sz w:val="22"/>
          <w:szCs w:val="22"/>
          <w:lang w:val="en-US" w:eastAsia="zh-CN"/>
        </w:rPr>
      </w:pPr>
      <w:bookmarkStart w:id="1" w:name="_Ref124589665"/>
      <w:bookmarkStart w:id="2" w:name="_Ref71620620"/>
      <w:bookmarkStart w:id="3" w:name="_Ref124671424"/>
      <w:r w:rsidRPr="00C24246">
        <w:rPr>
          <w:rFonts w:eastAsiaTheme="minorEastAsia"/>
          <w:b/>
          <w:bCs/>
          <w:i/>
          <w:iCs/>
          <w:sz w:val="22"/>
          <w:szCs w:val="22"/>
          <w:lang w:eastAsia="zh-CN"/>
        </w:rPr>
        <w:t xml:space="preserve">Proposal </w:t>
      </w:r>
      <w:r>
        <w:rPr>
          <w:rFonts w:eastAsiaTheme="minorEastAsia"/>
          <w:b/>
          <w:bCs/>
          <w:i/>
          <w:iCs/>
          <w:sz w:val="22"/>
          <w:szCs w:val="22"/>
          <w:lang w:eastAsia="zh-CN"/>
        </w:rPr>
        <w:t>1</w:t>
      </w:r>
      <w:r w:rsidRPr="00C24246">
        <w:rPr>
          <w:rFonts w:eastAsiaTheme="minorEastAsia"/>
          <w:i/>
          <w:iCs/>
          <w:sz w:val="22"/>
          <w:szCs w:val="22"/>
          <w:lang w:eastAsia="zh-CN"/>
        </w:rPr>
        <w:t xml:space="preserve">: </w:t>
      </w:r>
      <w:r>
        <w:rPr>
          <w:rFonts w:eastAsiaTheme="minorEastAsia"/>
          <w:i/>
          <w:iCs/>
          <w:sz w:val="22"/>
          <w:szCs w:val="22"/>
          <w:lang w:eastAsia="zh-CN"/>
        </w:rPr>
        <w:t>a</w:t>
      </w:r>
      <w:r w:rsidRPr="00864741">
        <w:rPr>
          <w:rFonts w:eastAsiaTheme="minorEastAsia"/>
          <w:i/>
          <w:iCs/>
          <w:sz w:val="22"/>
          <w:szCs w:val="22"/>
          <w:lang w:val="en-US" w:eastAsia="zh-CN"/>
        </w:rPr>
        <w:t>dd new text underlined for component 2-1a " 1. Support UE applies segmented UL transmission according to duration configuration by the network </w:t>
      </w:r>
      <w:r w:rsidRPr="00864741">
        <w:rPr>
          <w:rFonts w:eastAsiaTheme="minorEastAsia"/>
          <w:i/>
          <w:iCs/>
          <w:color w:val="FF0000"/>
          <w:sz w:val="22"/>
          <w:szCs w:val="22"/>
          <w:u w:val="single"/>
          <w:lang w:val="en-US" w:eastAsia="zh-CN"/>
        </w:rPr>
        <w:t>based on a single UE capability</w:t>
      </w:r>
      <w:r w:rsidRPr="00864741">
        <w:rPr>
          <w:rFonts w:eastAsiaTheme="minorEastAsia"/>
          <w:i/>
          <w:iCs/>
          <w:sz w:val="22"/>
          <w:szCs w:val="22"/>
          <w:lang w:val="en-US" w:eastAsia="zh-CN"/>
        </w:rPr>
        <w:t>"</w:t>
      </w:r>
      <w:r>
        <w:rPr>
          <w:rFonts w:eastAsiaTheme="minorEastAsia"/>
          <w:i/>
          <w:iCs/>
          <w:sz w:val="22"/>
          <w:szCs w:val="22"/>
          <w:lang w:val="en-US" w:eastAsia="zh-CN"/>
        </w:rPr>
        <w:t>.</w:t>
      </w:r>
    </w:p>
    <w:p w14:paraId="37AF403F" w14:textId="77777777" w:rsidR="00DB1BAA" w:rsidRPr="00864741" w:rsidRDefault="00DB1BAA" w:rsidP="00DB1BAA">
      <w:pPr>
        <w:shd w:val="clear" w:color="auto" w:fill="FFFFFF"/>
        <w:rPr>
          <w:rFonts w:eastAsia="SimSun"/>
          <w:i/>
          <w:iCs/>
          <w:color w:val="242424"/>
          <w:sz w:val="21"/>
          <w:szCs w:val="21"/>
          <w:lang w:val="en-US" w:eastAsia="zh-CN"/>
        </w:rPr>
      </w:pPr>
      <w:r w:rsidRPr="00C24246">
        <w:rPr>
          <w:rFonts w:eastAsiaTheme="minorEastAsia"/>
          <w:b/>
          <w:bCs/>
          <w:i/>
          <w:iCs/>
          <w:sz w:val="22"/>
          <w:szCs w:val="22"/>
          <w:lang w:eastAsia="zh-CN"/>
        </w:rPr>
        <w:t xml:space="preserve">Proposal </w:t>
      </w:r>
      <w:r>
        <w:rPr>
          <w:rFonts w:eastAsiaTheme="minorEastAsia"/>
          <w:b/>
          <w:bCs/>
          <w:i/>
          <w:iCs/>
          <w:sz w:val="22"/>
          <w:szCs w:val="22"/>
          <w:lang w:eastAsia="zh-CN"/>
        </w:rPr>
        <w:t>2</w:t>
      </w:r>
      <w:r w:rsidRPr="00C24246">
        <w:rPr>
          <w:rFonts w:eastAsiaTheme="minorEastAsia"/>
          <w:i/>
          <w:iCs/>
          <w:sz w:val="22"/>
          <w:szCs w:val="22"/>
          <w:lang w:eastAsia="zh-CN"/>
        </w:rPr>
        <w:t>:</w:t>
      </w:r>
      <w:r w:rsidRPr="00864741">
        <w:rPr>
          <w:rFonts w:ascii="Segoe UI" w:eastAsia="SimSun" w:hAnsi="Segoe UI" w:cs="Segoe UI"/>
          <w:color w:val="242424"/>
          <w:sz w:val="22"/>
          <w:szCs w:val="22"/>
          <w:lang w:val="en-US" w:eastAsia="zh-CN"/>
        </w:rPr>
        <w:t xml:space="preserve"> </w:t>
      </w:r>
      <w:r w:rsidRPr="00864741">
        <w:rPr>
          <w:rFonts w:eastAsia="SimSun"/>
          <w:i/>
          <w:iCs/>
          <w:color w:val="242424"/>
          <w:sz w:val="22"/>
          <w:szCs w:val="22"/>
          <w:lang w:val="en-US" w:eastAsia="zh-CN"/>
        </w:rPr>
        <w:t>Send LS to RAN2 to specify a single UE capability will be specified by RAN2 in TS 36.30</w:t>
      </w:r>
      <w:r>
        <w:rPr>
          <w:rFonts w:eastAsia="SimSun"/>
          <w:i/>
          <w:iCs/>
          <w:color w:val="242424"/>
          <w:sz w:val="22"/>
          <w:szCs w:val="22"/>
          <w:lang w:val="en-US" w:eastAsia="zh-CN"/>
        </w:rPr>
        <w:t>6</w:t>
      </w:r>
    </w:p>
    <w:p w14:paraId="59408F85" w14:textId="77777777" w:rsidR="00DB1BAA" w:rsidRPr="00864741" w:rsidRDefault="00DB1BAA" w:rsidP="00DB1BAA">
      <w:pPr>
        <w:shd w:val="clear" w:color="auto" w:fill="FFFFFF"/>
        <w:rPr>
          <w:rFonts w:eastAsia="SimSun"/>
          <w:i/>
          <w:iCs/>
          <w:color w:val="242424"/>
          <w:sz w:val="21"/>
          <w:szCs w:val="21"/>
          <w:lang w:val="en-US" w:eastAsia="zh-CN"/>
        </w:rPr>
      </w:pPr>
      <w:r w:rsidRPr="00864741">
        <w:rPr>
          <w:rFonts w:eastAsia="SimSun"/>
          <w:i/>
          <w:iCs/>
          <w:color w:val="242424"/>
          <w:sz w:val="22"/>
          <w:szCs w:val="22"/>
          <w:lang w:val="en-US" w:eastAsia="zh-CN"/>
        </w:rPr>
        <w:t>Note: When a single capability is signaled: UE drops one of the following durations of uplink transmission between segments (indicated by the capability):</w:t>
      </w:r>
    </w:p>
    <w:p w14:paraId="1CCECAF8" w14:textId="77777777" w:rsidR="00DB1BAA" w:rsidRPr="00864741" w:rsidRDefault="00DB1BAA" w:rsidP="00DB1BAA">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t>1 slot (applicable to eMTC)</w:t>
      </w:r>
    </w:p>
    <w:p w14:paraId="444D43EA" w14:textId="77777777" w:rsidR="00DB1BAA" w:rsidRPr="00864741" w:rsidRDefault="00DB1BAA" w:rsidP="00DB1BAA">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t>1 subframe (applicable to eMTC)</w:t>
      </w:r>
    </w:p>
    <w:p w14:paraId="63334E35" w14:textId="77777777" w:rsidR="00DB1BAA" w:rsidRPr="00864741" w:rsidRDefault="00DB1BAA" w:rsidP="00DB1BAA">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t>1 slot (applicable to NB-IoT)</w:t>
      </w:r>
    </w:p>
    <w:p w14:paraId="424C3E2A" w14:textId="77777777" w:rsidR="00DB1BAA" w:rsidRPr="00864741" w:rsidRDefault="00DB1BAA" w:rsidP="00DB1BAA">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t>2 slots (applicable to NB-IoT)</w:t>
      </w:r>
    </w:p>
    <w:p w14:paraId="01F9B537" w14:textId="77777777" w:rsidR="00DB1BAA" w:rsidRPr="00864741" w:rsidRDefault="00DB1BAA" w:rsidP="00DB1BAA">
      <w:pPr>
        <w:numPr>
          <w:ilvl w:val="0"/>
          <w:numId w:val="16"/>
        </w:numPr>
        <w:shd w:val="clear" w:color="auto" w:fill="FFFFFF"/>
        <w:spacing w:before="100" w:beforeAutospacing="1" w:after="100" w:afterAutospacing="1"/>
        <w:rPr>
          <w:rFonts w:eastAsia="SimSun"/>
          <w:i/>
          <w:iCs/>
          <w:color w:val="242424"/>
          <w:sz w:val="21"/>
          <w:szCs w:val="21"/>
          <w:lang w:val="en-US" w:eastAsia="zh-CN"/>
        </w:rPr>
      </w:pPr>
      <w:r w:rsidRPr="00864741">
        <w:rPr>
          <w:rFonts w:eastAsia="SimSun"/>
          <w:i/>
          <w:iCs/>
          <w:color w:val="242424"/>
          <w:sz w:val="22"/>
          <w:szCs w:val="22"/>
          <w:lang w:val="en-US" w:eastAsia="zh-CN"/>
        </w:rPr>
        <w:t>1 symbol (applicable to both eMTC and NB-IoT)</w:t>
      </w:r>
    </w:p>
    <w:p w14:paraId="63A9BE4B" w14:textId="77777777" w:rsidR="00DB1BAA" w:rsidRPr="00DB1BAA" w:rsidRDefault="00DB1BAA" w:rsidP="00DB1BAA">
      <w:pPr>
        <w:shd w:val="clear" w:color="auto" w:fill="FFFFFF"/>
        <w:rPr>
          <w:rFonts w:eastAsia="SimSun"/>
          <w:i/>
          <w:iCs/>
          <w:color w:val="242424"/>
          <w:sz w:val="21"/>
          <w:szCs w:val="21"/>
          <w:lang w:val="en-US" w:eastAsia="zh-CN"/>
        </w:rPr>
      </w:pPr>
      <w:r w:rsidRPr="00864741">
        <w:rPr>
          <w:rFonts w:eastAsia="SimSun"/>
          <w:i/>
          <w:iCs/>
          <w:color w:val="242424"/>
          <w:sz w:val="22"/>
          <w:szCs w:val="22"/>
          <w:lang w:val="en-US" w:eastAsia="zh-CN"/>
        </w:rPr>
        <w:t xml:space="preserve">When capability is NOT </w:t>
      </w:r>
      <w:proofErr w:type="spellStart"/>
      <w:r w:rsidRPr="00864741">
        <w:rPr>
          <w:rFonts w:eastAsia="SimSun"/>
          <w:i/>
          <w:iCs/>
          <w:color w:val="242424"/>
          <w:sz w:val="22"/>
          <w:szCs w:val="22"/>
          <w:lang w:val="en-US" w:eastAsia="zh-CN"/>
        </w:rPr>
        <w:t>signalled</w:t>
      </w:r>
      <w:proofErr w:type="spellEnd"/>
      <w:r w:rsidRPr="00864741">
        <w:rPr>
          <w:rFonts w:eastAsia="SimSun"/>
          <w:i/>
          <w:iCs/>
          <w:color w:val="242424"/>
          <w:sz w:val="22"/>
          <w:szCs w:val="22"/>
          <w:lang w:val="en-US" w:eastAsia="zh-CN"/>
        </w:rPr>
        <w:t>: UE follows legacy behavior at slot boundaries due to TA adjustment</w:t>
      </w:r>
    </w:p>
    <w:p w14:paraId="09CB2B75" w14:textId="034134DD" w:rsidR="00C430B7" w:rsidRPr="00C57801" w:rsidRDefault="00C430B7" w:rsidP="00C57801">
      <w:pPr>
        <w:pStyle w:val="Heading1"/>
        <w:ind w:left="432" w:hanging="432"/>
        <w:rPr>
          <w:rFonts w:ascii="Times New Roman" w:hAnsi="Times New Roman"/>
        </w:rPr>
      </w:pPr>
      <w:r w:rsidRPr="00367781">
        <w:rPr>
          <w:rFonts w:ascii="Times New Roman" w:hAnsi="Times New Roman"/>
        </w:rPr>
        <w:t>References</w:t>
      </w:r>
      <w:bookmarkEnd w:id="1"/>
      <w:bookmarkEnd w:id="2"/>
      <w:bookmarkEnd w:id="3"/>
    </w:p>
    <w:p w14:paraId="0C8AA20D" w14:textId="28D0AA6B" w:rsidR="00E63C05" w:rsidRPr="00734529" w:rsidRDefault="005E36B6" w:rsidP="00BD6FA7">
      <w:pPr>
        <w:pStyle w:val="ListParagraph"/>
        <w:numPr>
          <w:ilvl w:val="0"/>
          <w:numId w:val="12"/>
        </w:numPr>
        <w:spacing w:after="120"/>
        <w:ind w:leftChars="0"/>
        <w:jc w:val="both"/>
        <w:rPr>
          <w:rFonts w:eastAsiaTheme="minorEastAsia"/>
          <w:sz w:val="22"/>
          <w:szCs w:val="22"/>
          <w:lang w:val="en-US" w:eastAsia="zh-CN"/>
        </w:rPr>
      </w:pPr>
      <w:r w:rsidRPr="00E63C05">
        <w:rPr>
          <w:rFonts w:eastAsia="SimSun"/>
          <w:sz w:val="22"/>
          <w:szCs w:val="22"/>
          <w:lang w:val="en-US" w:eastAsia="zh-CN"/>
        </w:rPr>
        <w:t>R1-2</w:t>
      </w:r>
      <w:r w:rsidR="00156B20">
        <w:rPr>
          <w:rFonts w:eastAsia="SimSun"/>
          <w:sz w:val="22"/>
          <w:szCs w:val="22"/>
          <w:lang w:val="en-US" w:eastAsia="zh-CN"/>
        </w:rPr>
        <w:t>202856</w:t>
      </w:r>
      <w:r w:rsidR="003A6C19" w:rsidRPr="00E63C05">
        <w:rPr>
          <w:rFonts w:eastAsia="SimSun"/>
          <w:sz w:val="22"/>
          <w:szCs w:val="22"/>
          <w:lang w:val="en-US" w:eastAsia="zh-CN"/>
        </w:rPr>
        <w:t>, “Summary of UE features for IoT over NTN.”</w:t>
      </w:r>
    </w:p>
    <w:p w14:paraId="5FF9E91B" w14:textId="46B30005" w:rsidR="00E63C05" w:rsidRPr="00E63C05" w:rsidRDefault="00E63C05" w:rsidP="00E63C05">
      <w:pPr>
        <w:spacing w:after="120"/>
        <w:jc w:val="both"/>
        <w:rPr>
          <w:rFonts w:eastAsiaTheme="minorEastAsia"/>
          <w:sz w:val="22"/>
          <w:szCs w:val="22"/>
          <w:lang w:val="en-US" w:eastAsia="zh-CN"/>
        </w:rPr>
        <w:sectPr w:rsidR="00E63C05" w:rsidRPr="00E63C05"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621DD0F8" w14:textId="77777777" w:rsidR="0087566B" w:rsidRPr="00367781" w:rsidRDefault="0087566B"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sidRPr="00367781">
        <w:rPr>
          <w:rFonts w:eastAsiaTheme="minorEastAsia"/>
          <w:sz w:val="32"/>
          <w:szCs w:val="32"/>
          <w:lang w:val="en-US" w:eastAsia="zh-CN"/>
        </w:rPr>
        <w:lastRenderedPageBreak/>
        <w:t>Appendix A</w:t>
      </w:r>
    </w:p>
    <w:p w14:paraId="46578227" w14:textId="35BBD15F" w:rsidR="00A67AA6" w:rsidRDefault="0087566B" w:rsidP="00A67AA6">
      <w:r w:rsidRPr="00367781">
        <w:rPr>
          <w:lang w:val="en-US" w:eastAsia="ko-KR"/>
        </w:rPr>
        <w:t xml:space="preserve">Rel-17 UE features for </w:t>
      </w:r>
      <w:r w:rsidR="00821859">
        <w:rPr>
          <w:lang w:val="en-US" w:eastAsia="ko-KR"/>
        </w:rPr>
        <w:t>LTE NB-IoT eMTC</w:t>
      </w:r>
      <w:r w:rsidR="007453A8">
        <w:rPr>
          <w:lang w:val="en-US" w:eastAsia="ko-KR"/>
        </w:rPr>
        <w:t xml:space="preserve"> over</w:t>
      </w:r>
      <w:r w:rsidR="00821859">
        <w:rPr>
          <w:lang w:val="en-US" w:eastAsia="ko-KR"/>
        </w:rPr>
        <w:t xml:space="preserve"> NTN.</w:t>
      </w:r>
      <w:r w:rsidR="00A67AA6" w:rsidDel="00A67AA6">
        <w:rPr>
          <w:lang w:val="en-US" w:eastAsia="ko-KR"/>
        </w:rPr>
        <w:t xml:space="preserve"> </w:t>
      </w:r>
    </w:p>
    <w:tbl>
      <w:tblPr>
        <w:tblW w:w="22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704"/>
        <w:gridCol w:w="1386"/>
        <w:gridCol w:w="4007"/>
        <w:gridCol w:w="1257"/>
        <w:gridCol w:w="1096"/>
        <w:gridCol w:w="1910"/>
        <w:gridCol w:w="1397"/>
        <w:gridCol w:w="1795"/>
        <w:gridCol w:w="1457"/>
        <w:gridCol w:w="1377"/>
        <w:gridCol w:w="1726"/>
        <w:gridCol w:w="1907"/>
      </w:tblGrid>
      <w:tr w:rsidR="00FF4064" w:rsidRPr="00507FA2" w14:paraId="7DA558EC" w14:textId="77777777" w:rsidTr="00685F68">
        <w:tc>
          <w:tcPr>
            <w:tcW w:w="2361" w:type="dxa"/>
            <w:tcBorders>
              <w:top w:val="single" w:sz="4" w:space="0" w:color="auto"/>
              <w:left w:val="single" w:sz="4" w:space="0" w:color="auto"/>
              <w:bottom w:val="single" w:sz="4" w:space="0" w:color="auto"/>
              <w:right w:val="single" w:sz="4" w:space="0" w:color="auto"/>
            </w:tcBorders>
            <w:hideMark/>
          </w:tcPr>
          <w:p w14:paraId="2628EE1B" w14:textId="77777777" w:rsidR="00A67AA6" w:rsidRPr="00507FA2" w:rsidRDefault="00A67AA6" w:rsidP="00A67AA6">
            <w:pPr>
              <w:pStyle w:val="TAH"/>
              <w:rPr>
                <w:rFonts w:cs="Arial"/>
                <w:szCs w:val="18"/>
              </w:rPr>
            </w:pPr>
            <w:r w:rsidRPr="00507FA2">
              <w:rPr>
                <w:rFonts w:cs="Arial"/>
                <w:szCs w:val="18"/>
              </w:rPr>
              <w:lastRenderedPageBreak/>
              <w:t>Features</w:t>
            </w:r>
          </w:p>
        </w:tc>
        <w:tc>
          <w:tcPr>
            <w:tcW w:w="704" w:type="dxa"/>
            <w:tcBorders>
              <w:top w:val="single" w:sz="4" w:space="0" w:color="auto"/>
              <w:left w:val="single" w:sz="4" w:space="0" w:color="auto"/>
              <w:bottom w:val="single" w:sz="4" w:space="0" w:color="auto"/>
              <w:right w:val="single" w:sz="4" w:space="0" w:color="auto"/>
            </w:tcBorders>
            <w:hideMark/>
          </w:tcPr>
          <w:p w14:paraId="0B4356C8" w14:textId="77777777" w:rsidR="00A67AA6" w:rsidRPr="00507FA2" w:rsidRDefault="00A67AA6" w:rsidP="00A67AA6">
            <w:pPr>
              <w:pStyle w:val="TAH"/>
              <w:rPr>
                <w:rFonts w:cs="Arial"/>
                <w:szCs w:val="18"/>
              </w:rPr>
            </w:pPr>
            <w:r w:rsidRPr="00507FA2">
              <w:rPr>
                <w:rFonts w:cs="Arial"/>
                <w:szCs w:val="18"/>
              </w:rPr>
              <w:t>Index</w:t>
            </w:r>
          </w:p>
        </w:tc>
        <w:tc>
          <w:tcPr>
            <w:tcW w:w="1386" w:type="dxa"/>
            <w:tcBorders>
              <w:top w:val="single" w:sz="4" w:space="0" w:color="auto"/>
              <w:left w:val="single" w:sz="4" w:space="0" w:color="auto"/>
              <w:bottom w:val="single" w:sz="4" w:space="0" w:color="auto"/>
              <w:right w:val="single" w:sz="4" w:space="0" w:color="auto"/>
            </w:tcBorders>
            <w:hideMark/>
          </w:tcPr>
          <w:p w14:paraId="3164E962" w14:textId="77777777" w:rsidR="00A67AA6" w:rsidRPr="00507FA2" w:rsidRDefault="00A67AA6" w:rsidP="00A67AA6">
            <w:pPr>
              <w:pStyle w:val="TAH"/>
              <w:rPr>
                <w:rFonts w:cs="Arial"/>
                <w:szCs w:val="18"/>
              </w:rPr>
            </w:pPr>
            <w:r w:rsidRPr="00507FA2">
              <w:rPr>
                <w:rFonts w:cs="Arial"/>
                <w:szCs w:val="18"/>
              </w:rPr>
              <w:t>Feature group</w:t>
            </w:r>
          </w:p>
        </w:tc>
        <w:tc>
          <w:tcPr>
            <w:tcW w:w="4007" w:type="dxa"/>
            <w:tcBorders>
              <w:top w:val="single" w:sz="4" w:space="0" w:color="auto"/>
              <w:left w:val="single" w:sz="4" w:space="0" w:color="auto"/>
              <w:bottom w:val="single" w:sz="4" w:space="0" w:color="auto"/>
              <w:right w:val="single" w:sz="4" w:space="0" w:color="auto"/>
            </w:tcBorders>
            <w:hideMark/>
          </w:tcPr>
          <w:p w14:paraId="075A2D52" w14:textId="77777777" w:rsidR="00A67AA6" w:rsidRPr="00507FA2" w:rsidRDefault="00A67AA6" w:rsidP="00A67AA6">
            <w:pPr>
              <w:pStyle w:val="TAH"/>
              <w:rPr>
                <w:rFonts w:cs="Arial"/>
                <w:szCs w:val="18"/>
              </w:rPr>
            </w:pPr>
            <w:r w:rsidRPr="00507FA2">
              <w:rPr>
                <w:rFonts w:cs="Arial"/>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298958AA" w14:textId="77777777" w:rsidR="00A67AA6" w:rsidRPr="00507FA2" w:rsidRDefault="00A67AA6" w:rsidP="00A67AA6">
            <w:pPr>
              <w:pStyle w:val="TAH"/>
              <w:rPr>
                <w:rFonts w:cs="Arial"/>
                <w:szCs w:val="18"/>
              </w:rPr>
            </w:pPr>
            <w:r w:rsidRPr="00507FA2">
              <w:rPr>
                <w:rFonts w:cs="Arial"/>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51B3C3D" w14:textId="77777777" w:rsidR="00A67AA6" w:rsidRPr="00507FA2" w:rsidRDefault="00A67AA6" w:rsidP="00A67AA6">
            <w:pPr>
              <w:pStyle w:val="TAH"/>
              <w:rPr>
                <w:rFonts w:cs="Arial"/>
                <w:szCs w:val="18"/>
              </w:rPr>
            </w:pPr>
            <w:r w:rsidRPr="00507FA2">
              <w:rPr>
                <w:rFonts w:cs="Arial"/>
                <w:szCs w:val="18"/>
              </w:rPr>
              <w:t>Need for the eNB to know if the feature is supported</w:t>
            </w:r>
          </w:p>
        </w:tc>
        <w:tc>
          <w:tcPr>
            <w:tcW w:w="1910" w:type="dxa"/>
            <w:tcBorders>
              <w:top w:val="single" w:sz="4" w:space="0" w:color="auto"/>
              <w:left w:val="single" w:sz="4" w:space="0" w:color="auto"/>
              <w:bottom w:val="single" w:sz="4" w:space="0" w:color="auto"/>
              <w:right w:val="single" w:sz="4" w:space="0" w:color="auto"/>
            </w:tcBorders>
            <w:shd w:val="clear" w:color="auto" w:fill="auto"/>
            <w:hideMark/>
          </w:tcPr>
          <w:p w14:paraId="50E2B8C4" w14:textId="77777777" w:rsidR="00A67AA6" w:rsidRPr="00507FA2" w:rsidRDefault="00A67AA6" w:rsidP="00A67AA6">
            <w:pPr>
              <w:pStyle w:val="TAH"/>
              <w:rPr>
                <w:rFonts w:cs="Arial"/>
                <w:szCs w:val="18"/>
              </w:rPr>
            </w:pPr>
            <w:r w:rsidRPr="00507FA2">
              <w:rPr>
                <w:rFonts w:cs="Arial"/>
                <w:szCs w:val="18"/>
              </w:rPr>
              <w:t>[Need for the UE to know if the feature is supported (only for V2X WI, where the PC5-RRC capability signalling is delivered between the UEs)]</w:t>
            </w:r>
          </w:p>
        </w:tc>
        <w:tc>
          <w:tcPr>
            <w:tcW w:w="1397" w:type="dxa"/>
            <w:tcBorders>
              <w:top w:val="single" w:sz="4" w:space="0" w:color="auto"/>
              <w:left w:val="single" w:sz="4" w:space="0" w:color="auto"/>
              <w:bottom w:val="single" w:sz="4" w:space="0" w:color="auto"/>
              <w:right w:val="single" w:sz="4" w:space="0" w:color="auto"/>
            </w:tcBorders>
            <w:hideMark/>
          </w:tcPr>
          <w:p w14:paraId="24D7116B" w14:textId="77777777" w:rsidR="00A67AA6" w:rsidRPr="00507FA2" w:rsidRDefault="00A67AA6" w:rsidP="00A67AA6">
            <w:pPr>
              <w:pStyle w:val="TAN"/>
              <w:ind w:left="0" w:firstLine="0"/>
              <w:rPr>
                <w:rFonts w:cs="Arial"/>
                <w:b/>
                <w:szCs w:val="18"/>
                <w:lang w:eastAsia="ja-JP"/>
              </w:rPr>
            </w:pPr>
            <w:r w:rsidRPr="00507FA2">
              <w:rPr>
                <w:rFonts w:cs="Arial"/>
                <w:b/>
                <w:szCs w:val="18"/>
                <w:lang w:eastAsia="ja-JP"/>
              </w:rPr>
              <w:t>Consequence if the feature is not supported by the UE</w:t>
            </w:r>
          </w:p>
        </w:tc>
        <w:tc>
          <w:tcPr>
            <w:tcW w:w="1795" w:type="dxa"/>
            <w:tcBorders>
              <w:top w:val="single" w:sz="4" w:space="0" w:color="auto"/>
              <w:left w:val="single" w:sz="4" w:space="0" w:color="auto"/>
              <w:bottom w:val="single" w:sz="4" w:space="0" w:color="auto"/>
              <w:right w:val="single" w:sz="4" w:space="0" w:color="auto"/>
            </w:tcBorders>
            <w:hideMark/>
          </w:tcPr>
          <w:p w14:paraId="69C40405" w14:textId="77777777" w:rsidR="00A67AA6" w:rsidRPr="00507FA2" w:rsidRDefault="00A67AA6" w:rsidP="00A67AA6">
            <w:pPr>
              <w:pStyle w:val="TAN"/>
              <w:ind w:left="0" w:firstLine="0"/>
              <w:rPr>
                <w:rFonts w:cs="Arial"/>
                <w:b/>
                <w:szCs w:val="18"/>
                <w:lang w:eastAsia="ja-JP"/>
              </w:rPr>
            </w:pPr>
            <w:r w:rsidRPr="00507FA2">
              <w:rPr>
                <w:rFonts w:cs="Arial"/>
                <w:b/>
                <w:szCs w:val="18"/>
                <w:lang w:eastAsia="ja-JP"/>
              </w:rPr>
              <w:t>Type</w:t>
            </w:r>
          </w:p>
          <w:p w14:paraId="1FDB1EF7" w14:textId="77777777" w:rsidR="00A67AA6" w:rsidRPr="00507FA2" w:rsidRDefault="00A67AA6" w:rsidP="00A67AA6">
            <w:pPr>
              <w:pStyle w:val="TAL"/>
              <w:rPr>
                <w:rFonts w:cs="Arial"/>
                <w:szCs w:val="18"/>
              </w:rPr>
            </w:pPr>
            <w:r w:rsidRPr="00507FA2">
              <w:rPr>
                <w:rFonts w:cs="Arial"/>
                <w:b/>
                <w:szCs w:val="18"/>
              </w:rPr>
              <w:t>(the ‘type’ definition from UE features should be based on the granularity of 1) Per UE or 2) Per Band or 3) Per BC or 4) Per FS or 5) Per FSPC)</w:t>
            </w:r>
          </w:p>
        </w:tc>
        <w:tc>
          <w:tcPr>
            <w:tcW w:w="1457" w:type="dxa"/>
            <w:tcBorders>
              <w:top w:val="single" w:sz="4" w:space="0" w:color="auto"/>
              <w:left w:val="single" w:sz="4" w:space="0" w:color="auto"/>
              <w:bottom w:val="single" w:sz="4" w:space="0" w:color="auto"/>
              <w:right w:val="single" w:sz="4" w:space="0" w:color="auto"/>
            </w:tcBorders>
            <w:hideMark/>
          </w:tcPr>
          <w:p w14:paraId="343FB9D4" w14:textId="77777777" w:rsidR="00A67AA6" w:rsidRPr="00507FA2" w:rsidRDefault="00A67AA6" w:rsidP="00A67AA6">
            <w:pPr>
              <w:pStyle w:val="TAH"/>
              <w:rPr>
                <w:rFonts w:cs="Arial"/>
                <w:szCs w:val="18"/>
              </w:rPr>
            </w:pPr>
            <w:r w:rsidRPr="00507FA2">
              <w:rPr>
                <w:rFonts w:cs="Arial"/>
                <w:szCs w:val="18"/>
              </w:rPr>
              <w:t>Need of FDD/TDD differentiation</w:t>
            </w:r>
          </w:p>
        </w:tc>
        <w:tc>
          <w:tcPr>
            <w:tcW w:w="1377" w:type="dxa"/>
            <w:tcBorders>
              <w:top w:val="single" w:sz="4" w:space="0" w:color="auto"/>
              <w:left w:val="single" w:sz="4" w:space="0" w:color="auto"/>
              <w:bottom w:val="single" w:sz="4" w:space="0" w:color="auto"/>
              <w:right w:val="single" w:sz="4" w:space="0" w:color="auto"/>
            </w:tcBorders>
            <w:hideMark/>
          </w:tcPr>
          <w:p w14:paraId="0BC8DA87" w14:textId="77777777" w:rsidR="00A67AA6" w:rsidRPr="00507FA2" w:rsidRDefault="00A67AA6" w:rsidP="00A67AA6">
            <w:pPr>
              <w:pStyle w:val="TAH"/>
              <w:rPr>
                <w:rFonts w:cs="Arial"/>
                <w:szCs w:val="18"/>
                <w:lang w:eastAsia="x-none"/>
              </w:rPr>
            </w:pPr>
            <w:r w:rsidRPr="00507FA2">
              <w:rPr>
                <w:rFonts w:cs="Arial"/>
                <w:szCs w:val="18"/>
              </w:rPr>
              <w:t>Capability interpretation for mixture of FDD/TDD</w:t>
            </w:r>
          </w:p>
        </w:tc>
        <w:tc>
          <w:tcPr>
            <w:tcW w:w="1726" w:type="dxa"/>
            <w:tcBorders>
              <w:top w:val="single" w:sz="4" w:space="0" w:color="auto"/>
              <w:left w:val="single" w:sz="4" w:space="0" w:color="auto"/>
              <w:bottom w:val="single" w:sz="4" w:space="0" w:color="auto"/>
              <w:right w:val="single" w:sz="4" w:space="0" w:color="auto"/>
            </w:tcBorders>
            <w:hideMark/>
          </w:tcPr>
          <w:p w14:paraId="33741EB9" w14:textId="77777777" w:rsidR="00A67AA6" w:rsidRPr="00507FA2" w:rsidRDefault="00A67AA6" w:rsidP="00A67AA6">
            <w:pPr>
              <w:pStyle w:val="TAH"/>
              <w:rPr>
                <w:rFonts w:cs="Arial"/>
                <w:szCs w:val="18"/>
              </w:rPr>
            </w:pPr>
            <w:r w:rsidRPr="00507FA2">
              <w:rPr>
                <w:rFonts w:cs="Arial"/>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08CB6319" w14:textId="77777777" w:rsidR="00A67AA6" w:rsidRPr="00507FA2" w:rsidRDefault="00A67AA6" w:rsidP="00A67AA6">
            <w:pPr>
              <w:pStyle w:val="TAH"/>
              <w:rPr>
                <w:rFonts w:cs="Arial"/>
                <w:szCs w:val="18"/>
              </w:rPr>
            </w:pPr>
            <w:r w:rsidRPr="00507FA2">
              <w:rPr>
                <w:rFonts w:cs="Arial"/>
                <w:szCs w:val="18"/>
              </w:rPr>
              <w:t>Mandatory/Optional</w:t>
            </w:r>
          </w:p>
        </w:tc>
      </w:tr>
      <w:tr w:rsidR="00666B3C" w:rsidRPr="00507FA2" w14:paraId="354219CA" w14:textId="77777777" w:rsidTr="00685F68">
        <w:tc>
          <w:tcPr>
            <w:tcW w:w="2361" w:type="dxa"/>
            <w:tcBorders>
              <w:top w:val="single" w:sz="4" w:space="0" w:color="auto"/>
              <w:left w:val="single" w:sz="4" w:space="0" w:color="auto"/>
              <w:bottom w:val="single" w:sz="4" w:space="0" w:color="auto"/>
              <w:right w:val="single" w:sz="4" w:space="0" w:color="auto"/>
            </w:tcBorders>
          </w:tcPr>
          <w:p w14:paraId="551D92A2" w14:textId="346CE2FD" w:rsidR="00666B3C" w:rsidRPr="00666B3C" w:rsidRDefault="00666B3C" w:rsidP="00666B3C">
            <w:pPr>
              <w:pStyle w:val="TAL"/>
              <w:rPr>
                <w:rFonts w:cs="Arial"/>
                <w:color w:val="000000"/>
                <w:szCs w:val="18"/>
              </w:rPr>
            </w:pPr>
            <w:r>
              <w:rPr>
                <w:rFonts w:cs="Arial"/>
                <w:color w:val="000000"/>
                <w:szCs w:val="18"/>
              </w:rPr>
              <w:t xml:space="preserve">2. </w:t>
            </w:r>
            <w:proofErr w:type="spellStart"/>
            <w:r>
              <w:rPr>
                <w:rFonts w:cs="Arial"/>
                <w:color w:val="000000"/>
                <w:szCs w:val="18"/>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tcPr>
          <w:p w14:paraId="6A8F2D16" w14:textId="504CDF06" w:rsidR="00666B3C" w:rsidRPr="00666B3C" w:rsidRDefault="00666B3C" w:rsidP="00666B3C">
            <w:pPr>
              <w:pStyle w:val="TAL"/>
              <w:rPr>
                <w:rFonts w:cs="Arial"/>
                <w:color w:val="000000"/>
                <w:szCs w:val="18"/>
              </w:rPr>
            </w:pPr>
            <w:r>
              <w:rPr>
                <w:rFonts w:cs="Arial"/>
                <w:color w:val="000000"/>
                <w:szCs w:val="18"/>
              </w:rPr>
              <w:t>2-1</w:t>
            </w:r>
          </w:p>
        </w:tc>
        <w:tc>
          <w:tcPr>
            <w:tcW w:w="1386" w:type="dxa"/>
            <w:tcBorders>
              <w:top w:val="single" w:sz="4" w:space="0" w:color="auto"/>
              <w:left w:val="single" w:sz="4" w:space="0" w:color="auto"/>
              <w:bottom w:val="single" w:sz="4" w:space="0" w:color="auto"/>
              <w:right w:val="single" w:sz="4" w:space="0" w:color="auto"/>
            </w:tcBorders>
          </w:tcPr>
          <w:p w14:paraId="11C195D6" w14:textId="3014BE39" w:rsidR="00666B3C" w:rsidRPr="00666B3C" w:rsidRDefault="00666B3C" w:rsidP="00666B3C">
            <w:pPr>
              <w:pStyle w:val="TAL"/>
              <w:rPr>
                <w:rFonts w:cs="Arial"/>
                <w:color w:val="000000"/>
                <w:szCs w:val="18"/>
              </w:rPr>
            </w:pPr>
            <w:r>
              <w:rPr>
                <w:rFonts w:cs="Arial"/>
                <w:color w:val="000000"/>
                <w:szCs w:val="18"/>
              </w:rPr>
              <w:t xml:space="preserve">Basic IoT over NTN support </w:t>
            </w:r>
            <w:r w:rsidRPr="00666B3C">
              <w:rPr>
                <w:rFonts w:cs="Arial"/>
                <w:color w:val="000000"/>
                <w:szCs w:val="18"/>
              </w:rPr>
              <w:t>for eMTC</w:t>
            </w:r>
          </w:p>
        </w:tc>
        <w:tc>
          <w:tcPr>
            <w:tcW w:w="4007" w:type="dxa"/>
            <w:tcBorders>
              <w:top w:val="single" w:sz="4" w:space="0" w:color="auto"/>
              <w:left w:val="single" w:sz="4" w:space="0" w:color="auto"/>
              <w:bottom w:val="single" w:sz="4" w:space="0" w:color="auto"/>
              <w:right w:val="single" w:sz="4" w:space="0" w:color="auto"/>
            </w:tcBorders>
          </w:tcPr>
          <w:p w14:paraId="26D270C4" w14:textId="77777777" w:rsidR="00666B3C" w:rsidRDefault="00666B3C" w:rsidP="00666B3C">
            <w:pPr>
              <w:pStyle w:val="TAL"/>
              <w:rPr>
                <w:rFonts w:cs="Arial"/>
                <w:color w:val="000000"/>
                <w:szCs w:val="18"/>
              </w:rPr>
            </w:pPr>
            <w:r>
              <w:rPr>
                <w:color w:val="000000"/>
              </w:rPr>
              <w:t>1. UE derives its position based on its GNSS measurements</w:t>
            </w:r>
          </w:p>
          <w:p w14:paraId="723CE3CB" w14:textId="77777777" w:rsidR="00666B3C" w:rsidRDefault="00666B3C" w:rsidP="00666B3C">
            <w:pPr>
              <w:pStyle w:val="TAL"/>
              <w:rPr>
                <w:strike/>
                <w:color w:val="000000"/>
                <w:sz w:val="20"/>
              </w:rPr>
            </w:pPr>
            <w:r>
              <w:rPr>
                <w:strike/>
                <w:color w:val="FF0000"/>
              </w:rPr>
              <w:t>[</w:t>
            </w:r>
            <w:r>
              <w:rPr>
                <w:color w:val="000000"/>
              </w:rPr>
              <w:t>1-1. UE reports the information associated with the validity duration of GNSS</w:t>
            </w:r>
            <w:r>
              <w:rPr>
                <w:strike/>
                <w:color w:val="FF0000"/>
              </w:rPr>
              <w:t>]</w:t>
            </w:r>
          </w:p>
          <w:p w14:paraId="24FBE5B9" w14:textId="77777777" w:rsidR="00666B3C" w:rsidRDefault="00666B3C" w:rsidP="00666B3C">
            <w:pPr>
              <w:pStyle w:val="TAL"/>
              <w:rPr>
                <w:color w:val="000000"/>
              </w:rPr>
            </w:pPr>
            <w:r>
              <w:rPr>
                <w:color w:val="000000"/>
              </w:rPr>
              <w:t xml:space="preserve">2. UE receives serving satellite ephemeris in either state vector format or orbital element format </w:t>
            </w:r>
          </w:p>
          <w:p w14:paraId="6EA8B129" w14:textId="77777777" w:rsidR="00666B3C" w:rsidRDefault="00666B3C" w:rsidP="00666B3C">
            <w:pPr>
              <w:spacing w:afterLines="50" w:after="120"/>
              <w:contextualSpacing/>
              <w:rPr>
                <w:rFonts w:cs="Arial"/>
                <w:color w:val="000000"/>
                <w:sz w:val="18"/>
                <w:szCs w:val="18"/>
              </w:rPr>
            </w:pPr>
            <w:r>
              <w:rPr>
                <w:rFonts w:cs="Arial"/>
                <w:color w:val="000000"/>
                <w:sz w:val="18"/>
                <w:szCs w:val="18"/>
              </w:rPr>
              <w:t>4. UE calculates UE specific TA in RRC_IDLE and RRC_CONNECTED state based on its GNSS-acquired position and the serving satellite ephemeris</w:t>
            </w:r>
          </w:p>
          <w:p w14:paraId="58A1729F" w14:textId="77777777" w:rsidR="00666B3C" w:rsidRDefault="00666B3C" w:rsidP="00666B3C">
            <w:pPr>
              <w:rPr>
                <w:rFonts w:cs="Arial"/>
                <w:color w:val="000000"/>
                <w:sz w:val="18"/>
                <w:szCs w:val="18"/>
              </w:rPr>
            </w:pPr>
            <w:r>
              <w:rPr>
                <w:rFonts w:cs="Arial"/>
                <w:color w:val="000000"/>
                <w:sz w:val="18"/>
                <w:szCs w:val="18"/>
              </w:rPr>
              <w:t>6. UE calculates common TA in RRC_IDLE and RRC_CONNECTED according to the parameters provided by the network (UE considers common TA as 0 if the parameter is not provided)</w:t>
            </w:r>
          </w:p>
          <w:p w14:paraId="44B71A00" w14:textId="77777777" w:rsidR="00666B3C" w:rsidRDefault="00666B3C" w:rsidP="00666B3C">
            <w:pPr>
              <w:pStyle w:val="TAL"/>
              <w:rPr>
                <w:rFonts w:cs="Arial"/>
                <w:color w:val="000000"/>
                <w:szCs w:val="18"/>
              </w:rPr>
            </w:pPr>
            <w:r>
              <w:rPr>
                <w:color w:val="000000"/>
              </w:rPr>
              <w:t>7. For TA update in RRC_CONNECTED state, UE uses a combination of both open (i.e. UE autonomous TA estimation, and common TA estimation) and closed (i.e., received TA commands) control loops</w:t>
            </w:r>
          </w:p>
          <w:p w14:paraId="3F6D3C7B" w14:textId="77777777" w:rsidR="00666B3C" w:rsidRDefault="00666B3C" w:rsidP="00666B3C">
            <w:pPr>
              <w:pStyle w:val="TAL"/>
              <w:rPr>
                <w:color w:val="000000"/>
                <w:sz w:val="20"/>
              </w:rPr>
            </w:pPr>
            <w:r>
              <w:rPr>
                <w:color w:val="000000"/>
              </w:rPr>
              <w:t>8. In RRC_IDLE and RRC_CONNECTED state, UE calculates frequency pre-compensation to counter shift the Doppler experienced on the service link</w:t>
            </w:r>
            <w:r>
              <w:rPr>
                <w:strike/>
                <w:color w:val="FF0000"/>
              </w:rPr>
              <w:t xml:space="preserve"> [in DL] [and] [in UL]</w:t>
            </w:r>
          </w:p>
          <w:p w14:paraId="5CB6034A" w14:textId="77777777" w:rsidR="00666B3C" w:rsidRDefault="00666B3C" w:rsidP="00666B3C">
            <w:pPr>
              <w:pStyle w:val="TAL"/>
              <w:rPr>
                <w:color w:val="000000"/>
              </w:rPr>
            </w:pPr>
            <w:r>
              <w:rPr>
                <w:color w:val="000000"/>
              </w:rPr>
              <w:t xml:space="preserve">10. UE supports a validity timer of UL synchronization that is configured by the network </w:t>
            </w:r>
          </w:p>
          <w:p w14:paraId="4DA90819" w14:textId="77777777" w:rsidR="00666B3C" w:rsidRDefault="00666B3C" w:rsidP="00666B3C">
            <w:pPr>
              <w:pStyle w:val="TAL"/>
              <w:rPr>
                <w:color w:val="000000"/>
              </w:rPr>
            </w:pPr>
            <w:r>
              <w:rPr>
                <w:color w:val="FF0000"/>
              </w:rPr>
              <w:t xml:space="preserve">13. UE applies cell specific </w:t>
            </w:r>
            <w:proofErr w:type="spellStart"/>
            <w:r>
              <w:rPr>
                <w:color w:val="FF0000"/>
              </w:rPr>
              <w:t>K_offset</w:t>
            </w:r>
            <w:proofErr w:type="spellEnd"/>
            <w:r>
              <w:rPr>
                <w:color w:val="FF0000"/>
              </w:rPr>
              <w:t xml:space="preserve"> in timing relationship enhancements</w:t>
            </w:r>
          </w:p>
          <w:p w14:paraId="68A8753B" w14:textId="77777777" w:rsidR="00666B3C" w:rsidRDefault="00666B3C" w:rsidP="00666B3C">
            <w:pPr>
              <w:pStyle w:val="TAL"/>
              <w:rPr>
                <w:color w:val="000000"/>
              </w:rPr>
            </w:pPr>
            <w:r>
              <w:rPr>
                <w:color w:val="000000"/>
              </w:rPr>
              <w:t>15. UE estimates UE-</w:t>
            </w:r>
            <w:proofErr w:type="spellStart"/>
            <w:r>
              <w:rPr>
                <w:color w:val="000000"/>
              </w:rPr>
              <w:t>gNB</w:t>
            </w:r>
            <w:proofErr w:type="spellEnd"/>
            <w:r>
              <w:rPr>
                <w:color w:val="000000"/>
              </w:rPr>
              <w:t xml:space="preserve"> RTT and delays the starts of </w:t>
            </w:r>
            <w:proofErr w:type="spellStart"/>
            <w:r>
              <w:rPr>
                <w:color w:val="000000"/>
              </w:rPr>
              <w:t>ra-ResponseWindow</w:t>
            </w:r>
            <w:proofErr w:type="spellEnd"/>
            <w:r>
              <w:rPr>
                <w:color w:val="000000"/>
              </w:rPr>
              <w:t xml:space="preserve"> by UE-</w:t>
            </w:r>
            <w:proofErr w:type="spellStart"/>
            <w:r>
              <w:rPr>
                <w:color w:val="000000"/>
              </w:rPr>
              <w:t>gNB</w:t>
            </w:r>
            <w:proofErr w:type="spellEnd"/>
            <w:r>
              <w:rPr>
                <w:color w:val="000000"/>
              </w:rPr>
              <w:t xml:space="preserve"> RTT</w:t>
            </w:r>
          </w:p>
          <w:p w14:paraId="21A64395" w14:textId="77777777" w:rsidR="00666B3C" w:rsidRDefault="00666B3C" w:rsidP="00666B3C">
            <w:pPr>
              <w:pStyle w:val="TAL"/>
              <w:rPr>
                <w:color w:val="000000"/>
              </w:rPr>
            </w:pPr>
            <w:r>
              <w:rPr>
                <w:color w:val="000000"/>
              </w:rPr>
              <w:t xml:space="preserve">16. Delay the UE action and assumption on a downlink configuration carried by MAC CE command by </w:t>
            </w:r>
            <w:proofErr w:type="spellStart"/>
            <w:r>
              <w:rPr>
                <w:color w:val="000000"/>
              </w:rPr>
              <w:t>K_mac</w:t>
            </w:r>
            <w:proofErr w:type="spellEnd"/>
            <w:r>
              <w:rPr>
                <w:color w:val="000000"/>
              </w:rPr>
              <w:t xml:space="preserve"> if it is indicated</w:t>
            </w:r>
          </w:p>
          <w:p w14:paraId="027B7B3B" w14:textId="77777777" w:rsidR="00666B3C" w:rsidRDefault="00666B3C" w:rsidP="00666B3C">
            <w:pPr>
              <w:pStyle w:val="maintext"/>
              <w:ind w:firstLineChars="0" w:firstLine="0"/>
              <w:jc w:val="left"/>
              <w:rPr>
                <w:rFonts w:ascii="Arial" w:hAnsi="Arial" w:cs="Arial"/>
                <w:color w:val="000000"/>
                <w:sz w:val="18"/>
                <w:szCs w:val="18"/>
              </w:rPr>
            </w:pPr>
            <w:r>
              <w:rPr>
                <w:rFonts w:ascii="Arial" w:hAnsi="Arial" w:cs="Arial"/>
                <w:color w:val="000000"/>
                <w:sz w:val="18"/>
                <w:szCs w:val="18"/>
              </w:rPr>
              <w:t>17. In RRC_IDLE state and RRC_CONNECTED state, UE pre-compensates the calculated frequency offset and TA in uplink transmissions</w:t>
            </w:r>
          </w:p>
          <w:p w14:paraId="4A9DFB59" w14:textId="56334094" w:rsidR="00666B3C" w:rsidRPr="00507FA2" w:rsidRDefault="00666B3C" w:rsidP="00666B3C">
            <w:pPr>
              <w:pStyle w:val="TAH"/>
              <w:jc w:val="left"/>
              <w:rPr>
                <w:rFonts w:cs="Arial"/>
                <w:szCs w:val="18"/>
              </w:rPr>
            </w:pPr>
            <w:r>
              <w:rPr>
                <w:rFonts w:cs="Arial"/>
                <w:color w:val="FF0000"/>
                <w:szCs w:val="18"/>
              </w:rPr>
              <w:t xml:space="preserve">18. UE receives cell-specific </w:t>
            </w:r>
            <w:proofErr w:type="spellStart"/>
            <w:r>
              <w:rPr>
                <w:rFonts w:cs="Arial"/>
                <w:color w:val="FF0000"/>
                <w:szCs w:val="18"/>
              </w:rPr>
              <w:t>K_offset</w:t>
            </w:r>
            <w:proofErr w:type="spellEnd"/>
            <w:r>
              <w:rPr>
                <w:rFonts w:cs="Arial"/>
                <w:color w:val="FF0000"/>
                <w:szCs w:val="18"/>
              </w:rPr>
              <w:t>/</w:t>
            </w:r>
            <w:proofErr w:type="spellStart"/>
            <w:r>
              <w:rPr>
                <w:rFonts w:cs="Arial"/>
                <w:color w:val="FF0000"/>
                <w:szCs w:val="18"/>
              </w:rPr>
              <w:t>K_mac</w:t>
            </w:r>
            <w:proofErr w:type="spellEnd"/>
            <w:r>
              <w:rPr>
                <w:rFonts w:cs="Arial"/>
                <w:color w:val="FF0000"/>
                <w:szCs w:val="18"/>
              </w:rPr>
              <w:t xml:space="preserve"> in system information</w:t>
            </w:r>
          </w:p>
        </w:tc>
        <w:tc>
          <w:tcPr>
            <w:tcW w:w="1257" w:type="dxa"/>
            <w:tcBorders>
              <w:top w:val="single" w:sz="4" w:space="0" w:color="auto"/>
              <w:left w:val="single" w:sz="4" w:space="0" w:color="auto"/>
              <w:bottom w:val="single" w:sz="4" w:space="0" w:color="auto"/>
              <w:right w:val="single" w:sz="4" w:space="0" w:color="auto"/>
            </w:tcBorders>
          </w:tcPr>
          <w:p w14:paraId="29C05F8C" w14:textId="77777777" w:rsidR="00666B3C" w:rsidRPr="00507FA2" w:rsidRDefault="00666B3C" w:rsidP="00666B3C">
            <w:pPr>
              <w:pStyle w:val="TAH"/>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541E4C02" w14:textId="074145D0" w:rsidR="00666B3C" w:rsidRPr="00507FA2" w:rsidRDefault="00666B3C" w:rsidP="00666B3C">
            <w:pPr>
              <w:pStyle w:val="TAH"/>
              <w:rPr>
                <w:rFonts w:cs="Arial"/>
                <w:szCs w:val="18"/>
              </w:rPr>
            </w:pPr>
            <w:r>
              <w:rPr>
                <w:rFonts w:cs="Arial"/>
                <w:color w:val="000000"/>
                <w:szCs w:val="18"/>
              </w:rPr>
              <w:t>Yes</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2956D3E0" w14:textId="6E1FF116" w:rsidR="00666B3C" w:rsidRPr="00507FA2" w:rsidRDefault="00666B3C" w:rsidP="00666B3C">
            <w:pPr>
              <w:pStyle w:val="TAH"/>
              <w:rPr>
                <w:rFonts w:cs="Arial"/>
                <w:szCs w:val="18"/>
              </w:rPr>
            </w:pPr>
            <w:r>
              <w:rPr>
                <w:rFonts w:cs="Arial"/>
                <w:color w:val="000000"/>
                <w:szCs w:val="18"/>
              </w:rPr>
              <w:t>N/A</w:t>
            </w:r>
          </w:p>
        </w:tc>
        <w:tc>
          <w:tcPr>
            <w:tcW w:w="1397" w:type="dxa"/>
            <w:tcBorders>
              <w:top w:val="single" w:sz="4" w:space="0" w:color="auto"/>
              <w:left w:val="single" w:sz="4" w:space="0" w:color="auto"/>
              <w:bottom w:val="single" w:sz="4" w:space="0" w:color="auto"/>
              <w:right w:val="single" w:sz="4" w:space="0" w:color="auto"/>
            </w:tcBorders>
          </w:tcPr>
          <w:p w14:paraId="030B087A" w14:textId="5A70BF7E" w:rsidR="00666B3C" w:rsidRPr="00507FA2" w:rsidRDefault="00666B3C" w:rsidP="00666B3C">
            <w:pPr>
              <w:pStyle w:val="TAN"/>
              <w:ind w:left="0" w:firstLine="0"/>
              <w:rPr>
                <w:rFonts w:cs="Arial"/>
                <w:b/>
                <w:szCs w:val="18"/>
                <w:lang w:eastAsia="ja-JP"/>
              </w:rPr>
            </w:pPr>
            <w:r>
              <w:rPr>
                <w:rFonts w:cs="Arial"/>
                <w:color w:val="000000"/>
                <w:szCs w:val="18"/>
              </w:rPr>
              <w:t xml:space="preserve">Release 17 </w:t>
            </w:r>
            <w:r>
              <w:rPr>
                <w:rFonts w:cs="Arial"/>
                <w:color w:val="FF0000"/>
                <w:szCs w:val="18"/>
              </w:rPr>
              <w:t xml:space="preserve">eMTC </w:t>
            </w:r>
            <w:r>
              <w:rPr>
                <w:rFonts w:cs="Arial"/>
                <w:color w:val="000000"/>
                <w:szCs w:val="18"/>
              </w:rPr>
              <w:t xml:space="preserve">UE cannot </w:t>
            </w:r>
            <w:r>
              <w:rPr>
                <w:rFonts w:cs="Arial"/>
                <w:color w:val="000000"/>
                <w:szCs w:val="18"/>
                <w:lang w:eastAsia="zh-CN"/>
              </w:rPr>
              <w:t xml:space="preserve">communicate via </w:t>
            </w:r>
            <w:r>
              <w:rPr>
                <w:rFonts w:cs="Arial"/>
                <w:color w:val="000000"/>
                <w:szCs w:val="18"/>
              </w:rPr>
              <w:t>satellite</w:t>
            </w:r>
          </w:p>
        </w:tc>
        <w:tc>
          <w:tcPr>
            <w:tcW w:w="1795" w:type="dxa"/>
            <w:tcBorders>
              <w:top w:val="single" w:sz="4" w:space="0" w:color="auto"/>
              <w:left w:val="single" w:sz="4" w:space="0" w:color="auto"/>
              <w:bottom w:val="single" w:sz="4" w:space="0" w:color="auto"/>
              <w:right w:val="single" w:sz="4" w:space="0" w:color="auto"/>
            </w:tcBorders>
          </w:tcPr>
          <w:p w14:paraId="5950EA77" w14:textId="326F3132" w:rsidR="00666B3C" w:rsidRPr="00507FA2" w:rsidRDefault="00666B3C" w:rsidP="00666B3C">
            <w:pPr>
              <w:pStyle w:val="TAN"/>
              <w:ind w:left="0" w:firstLine="0"/>
              <w:rPr>
                <w:rFonts w:cs="Arial"/>
                <w:b/>
                <w:szCs w:val="18"/>
                <w:lang w:eastAsia="ja-JP"/>
              </w:rPr>
            </w:pPr>
            <w:r>
              <w:rPr>
                <w:rFonts w:cs="Arial"/>
                <w:color w:val="000000"/>
                <w:szCs w:val="18"/>
                <w:highlight w:val="yellow"/>
              </w:rPr>
              <w:t>[Per UE/per band]</w:t>
            </w:r>
          </w:p>
        </w:tc>
        <w:tc>
          <w:tcPr>
            <w:tcW w:w="1457" w:type="dxa"/>
            <w:tcBorders>
              <w:top w:val="single" w:sz="4" w:space="0" w:color="auto"/>
              <w:left w:val="single" w:sz="4" w:space="0" w:color="auto"/>
              <w:bottom w:val="single" w:sz="4" w:space="0" w:color="auto"/>
              <w:right w:val="single" w:sz="4" w:space="0" w:color="auto"/>
            </w:tcBorders>
          </w:tcPr>
          <w:p w14:paraId="103FAF47" w14:textId="6EBF1EA2" w:rsidR="00666B3C" w:rsidRPr="00507FA2" w:rsidRDefault="00666B3C" w:rsidP="00666B3C">
            <w:pPr>
              <w:pStyle w:val="TAH"/>
              <w:rPr>
                <w:rFonts w:cs="Arial"/>
                <w:szCs w:val="18"/>
              </w:rPr>
            </w:pPr>
            <w:r>
              <w:rPr>
                <w:rFonts w:cs="Arial"/>
                <w:color w:val="000000"/>
                <w:szCs w:val="18"/>
              </w:rPr>
              <w:t>No</w:t>
            </w:r>
          </w:p>
        </w:tc>
        <w:tc>
          <w:tcPr>
            <w:tcW w:w="1377" w:type="dxa"/>
            <w:tcBorders>
              <w:top w:val="single" w:sz="4" w:space="0" w:color="auto"/>
              <w:left w:val="single" w:sz="4" w:space="0" w:color="auto"/>
              <w:bottom w:val="single" w:sz="4" w:space="0" w:color="auto"/>
              <w:right w:val="single" w:sz="4" w:space="0" w:color="auto"/>
            </w:tcBorders>
          </w:tcPr>
          <w:p w14:paraId="7633EB51" w14:textId="35071407" w:rsidR="00666B3C" w:rsidRPr="00507FA2" w:rsidRDefault="00666B3C" w:rsidP="00666B3C">
            <w:pPr>
              <w:pStyle w:val="TAH"/>
              <w:rPr>
                <w:rFonts w:cs="Arial"/>
                <w:szCs w:val="18"/>
              </w:rPr>
            </w:pPr>
            <w:r>
              <w:rPr>
                <w:rFonts w:cs="Arial"/>
                <w:color w:val="000000"/>
                <w:szCs w:val="18"/>
              </w:rPr>
              <w:t>No</w:t>
            </w:r>
          </w:p>
        </w:tc>
        <w:tc>
          <w:tcPr>
            <w:tcW w:w="1726" w:type="dxa"/>
            <w:tcBorders>
              <w:top w:val="single" w:sz="4" w:space="0" w:color="auto"/>
              <w:left w:val="single" w:sz="4" w:space="0" w:color="auto"/>
              <w:bottom w:val="single" w:sz="4" w:space="0" w:color="auto"/>
              <w:right w:val="single" w:sz="4" w:space="0" w:color="auto"/>
            </w:tcBorders>
          </w:tcPr>
          <w:p w14:paraId="40D768EE" w14:textId="77777777" w:rsidR="00666B3C" w:rsidRPr="00507FA2" w:rsidRDefault="00666B3C" w:rsidP="00666B3C">
            <w:pPr>
              <w:pStyle w:val="TAH"/>
              <w:rPr>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6B982F06" w14:textId="77777777" w:rsidR="00666B3C" w:rsidRDefault="00666B3C" w:rsidP="00666B3C">
            <w:pPr>
              <w:pStyle w:val="TAL"/>
              <w:rPr>
                <w:color w:val="000000"/>
                <w:sz w:val="20"/>
              </w:rPr>
            </w:pPr>
            <w:r>
              <w:rPr>
                <w:color w:val="000000"/>
              </w:rPr>
              <w:t>Optional with capability signalling</w:t>
            </w:r>
          </w:p>
          <w:p w14:paraId="4850FB41" w14:textId="77777777" w:rsidR="00666B3C" w:rsidRDefault="00666B3C" w:rsidP="00666B3C">
            <w:pPr>
              <w:pStyle w:val="TAL"/>
              <w:rPr>
                <w:color w:val="000000"/>
              </w:rPr>
            </w:pPr>
          </w:p>
          <w:p w14:paraId="65C3D30A" w14:textId="77777777" w:rsidR="00666B3C" w:rsidRDefault="00666B3C" w:rsidP="00666B3C">
            <w:pPr>
              <w:pStyle w:val="TAL"/>
              <w:rPr>
                <w:color w:val="000000"/>
              </w:rPr>
            </w:pPr>
            <w:r>
              <w:rPr>
                <w:color w:val="000000"/>
              </w:rPr>
              <w:t xml:space="preserve">For UEs supporting </w:t>
            </w:r>
            <w:r>
              <w:rPr>
                <w:strike/>
                <w:color w:val="FF0000"/>
              </w:rPr>
              <w:t>NB-IoT/</w:t>
            </w:r>
            <w:r>
              <w:rPr>
                <w:color w:val="000000"/>
              </w:rPr>
              <w:t>eMTC NTN, it must indicate this FG is supported</w:t>
            </w:r>
          </w:p>
          <w:p w14:paraId="24840C16" w14:textId="77777777" w:rsidR="00666B3C" w:rsidRDefault="00666B3C" w:rsidP="00666B3C">
            <w:pPr>
              <w:pStyle w:val="TAL"/>
              <w:rPr>
                <w:color w:val="000000"/>
              </w:rPr>
            </w:pPr>
          </w:p>
          <w:p w14:paraId="22E13885" w14:textId="78D07F95" w:rsidR="00666B3C" w:rsidRPr="00507FA2" w:rsidRDefault="00666B3C" w:rsidP="00666B3C">
            <w:pPr>
              <w:pStyle w:val="TAH"/>
              <w:rPr>
                <w:rFonts w:cs="Arial"/>
                <w:szCs w:val="18"/>
              </w:rPr>
            </w:pPr>
            <w:r>
              <w:rPr>
                <w:rFonts w:cs="Arial"/>
                <w:color w:val="000000"/>
                <w:szCs w:val="18"/>
              </w:rPr>
              <w:t>Note: This UE feature group is applicable only for IoT-NTN cell for communication via satellite, for any other cell this feature is not supported</w:t>
            </w:r>
          </w:p>
        </w:tc>
      </w:tr>
      <w:tr w:rsidR="00666B3C" w:rsidRPr="00507FA2" w14:paraId="2A1E5194" w14:textId="77777777" w:rsidTr="00685F68">
        <w:tc>
          <w:tcPr>
            <w:tcW w:w="2361" w:type="dxa"/>
            <w:tcBorders>
              <w:top w:val="single" w:sz="4" w:space="0" w:color="auto"/>
              <w:left w:val="single" w:sz="4" w:space="0" w:color="auto"/>
              <w:bottom w:val="single" w:sz="4" w:space="0" w:color="auto"/>
              <w:right w:val="single" w:sz="4" w:space="0" w:color="auto"/>
            </w:tcBorders>
          </w:tcPr>
          <w:p w14:paraId="703698DE" w14:textId="66149F2F" w:rsidR="00666B3C" w:rsidRDefault="00666B3C" w:rsidP="00666B3C">
            <w:pPr>
              <w:pStyle w:val="TAL"/>
              <w:rPr>
                <w:rFonts w:cs="Arial"/>
                <w:color w:val="000000"/>
                <w:szCs w:val="18"/>
              </w:rPr>
            </w:pPr>
            <w:r>
              <w:rPr>
                <w:rFonts w:cs="Arial"/>
                <w:color w:val="000000"/>
                <w:szCs w:val="18"/>
              </w:rPr>
              <w:t xml:space="preserve">2. </w:t>
            </w:r>
            <w:proofErr w:type="spellStart"/>
            <w:r>
              <w:rPr>
                <w:rFonts w:cs="Arial"/>
                <w:color w:val="000000"/>
                <w:szCs w:val="18"/>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tcPr>
          <w:p w14:paraId="79936ACA" w14:textId="402BBD31" w:rsidR="00666B3C" w:rsidRDefault="00666B3C" w:rsidP="00666B3C">
            <w:pPr>
              <w:pStyle w:val="TAL"/>
              <w:rPr>
                <w:rFonts w:cs="Arial"/>
                <w:color w:val="000000"/>
                <w:szCs w:val="18"/>
              </w:rPr>
            </w:pPr>
            <w:r>
              <w:rPr>
                <w:rFonts w:cs="Arial"/>
                <w:color w:val="000000"/>
                <w:szCs w:val="18"/>
              </w:rPr>
              <w:t>2-1a</w:t>
            </w:r>
          </w:p>
        </w:tc>
        <w:tc>
          <w:tcPr>
            <w:tcW w:w="1386" w:type="dxa"/>
            <w:tcBorders>
              <w:top w:val="single" w:sz="4" w:space="0" w:color="auto"/>
              <w:left w:val="single" w:sz="4" w:space="0" w:color="auto"/>
              <w:bottom w:val="single" w:sz="4" w:space="0" w:color="auto"/>
              <w:right w:val="single" w:sz="4" w:space="0" w:color="auto"/>
            </w:tcBorders>
          </w:tcPr>
          <w:p w14:paraId="2774C830" w14:textId="6905E8F3" w:rsidR="00666B3C" w:rsidRDefault="00666B3C" w:rsidP="00666B3C">
            <w:pPr>
              <w:pStyle w:val="TAL"/>
              <w:rPr>
                <w:rFonts w:cs="Arial"/>
                <w:color w:val="000000"/>
                <w:szCs w:val="18"/>
              </w:rPr>
            </w:pPr>
            <w:r>
              <w:rPr>
                <w:rFonts w:cs="Arial"/>
                <w:color w:val="000000"/>
                <w:szCs w:val="18"/>
              </w:rPr>
              <w:t>Segment</w:t>
            </w:r>
            <w:r>
              <w:rPr>
                <w:rFonts w:cs="Arial"/>
                <w:color w:val="FF0000"/>
                <w:szCs w:val="18"/>
              </w:rPr>
              <w:t>ed UL transmission</w:t>
            </w:r>
            <w:r>
              <w:rPr>
                <w:rFonts w:cs="Arial"/>
                <w:color w:val="000000"/>
                <w:szCs w:val="18"/>
              </w:rPr>
              <w:t xml:space="preserve"> </w:t>
            </w:r>
            <w:r>
              <w:rPr>
                <w:rFonts w:cs="Arial"/>
                <w:strike/>
                <w:color w:val="FF0000"/>
                <w:szCs w:val="18"/>
              </w:rPr>
              <w:t>duration configuration</w:t>
            </w:r>
            <w:r>
              <w:rPr>
                <w:rFonts w:cs="Arial"/>
                <w:color w:val="FF0000"/>
                <w:szCs w:val="18"/>
              </w:rPr>
              <w:t xml:space="preserve"> for eMTC</w:t>
            </w:r>
          </w:p>
        </w:tc>
        <w:tc>
          <w:tcPr>
            <w:tcW w:w="4007" w:type="dxa"/>
            <w:tcBorders>
              <w:top w:val="single" w:sz="4" w:space="0" w:color="auto"/>
              <w:left w:val="single" w:sz="4" w:space="0" w:color="auto"/>
              <w:bottom w:val="single" w:sz="4" w:space="0" w:color="auto"/>
              <w:right w:val="single" w:sz="4" w:space="0" w:color="auto"/>
            </w:tcBorders>
          </w:tcPr>
          <w:p w14:paraId="22C69E8D" w14:textId="77777777" w:rsidR="00666B3C" w:rsidRDefault="00666B3C" w:rsidP="00666B3C">
            <w:pPr>
              <w:pStyle w:val="TAL"/>
              <w:rPr>
                <w:rFonts w:cs="Arial"/>
                <w:szCs w:val="18"/>
              </w:rPr>
            </w:pPr>
            <w:r>
              <w:rPr>
                <w:color w:val="FF0000"/>
              </w:rPr>
              <w:t xml:space="preserve">1. </w:t>
            </w:r>
            <w:r>
              <w:rPr>
                <w:strike/>
                <w:color w:val="FF0000"/>
              </w:rPr>
              <w:t>Support</w:t>
            </w:r>
            <w:r>
              <w:rPr>
                <w:color w:val="FF0000"/>
              </w:rPr>
              <w:t xml:space="preserve"> UE applies </w:t>
            </w:r>
            <w:r>
              <w:rPr>
                <w:color w:val="000000"/>
              </w:rPr>
              <w:t>segment</w:t>
            </w:r>
            <w:r>
              <w:rPr>
                <w:color w:val="FF0000"/>
              </w:rPr>
              <w:t>ed UL transmission according to</w:t>
            </w:r>
            <w:r>
              <w:rPr>
                <w:color w:val="000000"/>
              </w:rPr>
              <w:t xml:space="preserve"> duration configuration by the network </w:t>
            </w:r>
          </w:p>
          <w:p w14:paraId="46309634" w14:textId="77777777" w:rsidR="00666B3C" w:rsidRDefault="00666B3C" w:rsidP="00666B3C">
            <w:pPr>
              <w:pStyle w:val="TAL"/>
              <w:rPr>
                <w:color w:val="000000"/>
              </w:rPr>
            </w:pPr>
          </w:p>
        </w:tc>
        <w:tc>
          <w:tcPr>
            <w:tcW w:w="1257" w:type="dxa"/>
            <w:tcBorders>
              <w:top w:val="single" w:sz="4" w:space="0" w:color="auto"/>
              <w:left w:val="single" w:sz="4" w:space="0" w:color="auto"/>
              <w:bottom w:val="single" w:sz="4" w:space="0" w:color="auto"/>
              <w:right w:val="single" w:sz="4" w:space="0" w:color="auto"/>
            </w:tcBorders>
          </w:tcPr>
          <w:p w14:paraId="50FF2EA4" w14:textId="38BD4CC2" w:rsidR="00666B3C" w:rsidRPr="00507FA2" w:rsidRDefault="00666B3C" w:rsidP="00666B3C">
            <w:pPr>
              <w:pStyle w:val="TAH"/>
              <w:rPr>
                <w:rFonts w:cs="Arial"/>
                <w:szCs w:val="18"/>
              </w:rPr>
            </w:pPr>
            <w:r>
              <w:rPr>
                <w:rFonts w:cs="Arial"/>
                <w:color w:val="FF0000"/>
                <w:szCs w:val="18"/>
              </w:rPr>
              <w:t>2-1</w:t>
            </w:r>
          </w:p>
        </w:tc>
        <w:tc>
          <w:tcPr>
            <w:tcW w:w="1096" w:type="dxa"/>
            <w:tcBorders>
              <w:top w:val="single" w:sz="4" w:space="0" w:color="auto"/>
              <w:left w:val="single" w:sz="4" w:space="0" w:color="auto"/>
              <w:bottom w:val="single" w:sz="4" w:space="0" w:color="auto"/>
              <w:right w:val="single" w:sz="4" w:space="0" w:color="auto"/>
            </w:tcBorders>
          </w:tcPr>
          <w:p w14:paraId="68AD3D0A" w14:textId="51367788" w:rsidR="00666B3C" w:rsidRDefault="00666B3C" w:rsidP="00666B3C">
            <w:pPr>
              <w:pStyle w:val="TAH"/>
              <w:rPr>
                <w:rFonts w:cs="Arial"/>
                <w:color w:val="000000"/>
                <w:szCs w:val="18"/>
              </w:rPr>
            </w:pPr>
            <w:r>
              <w:rPr>
                <w:rFonts w:cs="Arial"/>
                <w:color w:val="000000"/>
                <w:szCs w:val="18"/>
              </w:rPr>
              <w:t>Yes</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590BA550" w14:textId="31947A11" w:rsidR="00666B3C" w:rsidRDefault="00666B3C" w:rsidP="00666B3C">
            <w:pPr>
              <w:pStyle w:val="TAH"/>
              <w:rPr>
                <w:rFonts w:cs="Arial"/>
                <w:color w:val="000000"/>
                <w:szCs w:val="18"/>
              </w:rPr>
            </w:pPr>
            <w:r>
              <w:rPr>
                <w:rFonts w:cs="Arial"/>
                <w:color w:val="000000"/>
                <w:szCs w:val="18"/>
              </w:rPr>
              <w:t>N/A</w:t>
            </w:r>
          </w:p>
        </w:tc>
        <w:tc>
          <w:tcPr>
            <w:tcW w:w="1397" w:type="dxa"/>
            <w:tcBorders>
              <w:top w:val="single" w:sz="4" w:space="0" w:color="auto"/>
              <w:left w:val="single" w:sz="4" w:space="0" w:color="auto"/>
              <w:bottom w:val="single" w:sz="4" w:space="0" w:color="auto"/>
              <w:right w:val="single" w:sz="4" w:space="0" w:color="auto"/>
            </w:tcBorders>
          </w:tcPr>
          <w:p w14:paraId="2ED1D17E" w14:textId="281BB9F7" w:rsidR="00666B3C" w:rsidRDefault="00666B3C" w:rsidP="00666B3C">
            <w:pPr>
              <w:pStyle w:val="TAN"/>
              <w:ind w:left="0" w:firstLine="0"/>
              <w:rPr>
                <w:rFonts w:cs="Arial"/>
                <w:color w:val="000000"/>
                <w:szCs w:val="18"/>
              </w:rPr>
            </w:pPr>
            <w:r>
              <w:rPr>
                <w:rFonts w:cs="Arial"/>
                <w:color w:val="FF0000"/>
                <w:szCs w:val="18"/>
                <w:highlight w:val="yellow"/>
              </w:rPr>
              <w:t>[</w:t>
            </w:r>
            <w:r>
              <w:rPr>
                <w:rFonts w:cs="Arial"/>
                <w:color w:val="000000"/>
                <w:szCs w:val="18"/>
                <w:highlight w:val="yellow"/>
              </w:rPr>
              <w:t xml:space="preserve">Release 17 </w:t>
            </w:r>
            <w:r>
              <w:rPr>
                <w:rFonts w:cs="Arial"/>
                <w:color w:val="FF0000"/>
                <w:szCs w:val="18"/>
                <w:highlight w:val="yellow"/>
              </w:rPr>
              <w:t xml:space="preserve">eMTC </w:t>
            </w:r>
            <w:r>
              <w:rPr>
                <w:rFonts w:cs="Arial"/>
                <w:color w:val="000000"/>
                <w:szCs w:val="18"/>
                <w:highlight w:val="yellow"/>
              </w:rPr>
              <w:t xml:space="preserve">UE cannot </w:t>
            </w:r>
            <w:r>
              <w:rPr>
                <w:rFonts w:cs="Arial"/>
                <w:strike/>
                <w:color w:val="FF0000"/>
                <w:szCs w:val="18"/>
                <w:highlight w:val="yellow"/>
                <w:lang w:eastAsia="zh-CN"/>
              </w:rPr>
              <w:t xml:space="preserve">access </w:t>
            </w:r>
            <w:r>
              <w:rPr>
                <w:rFonts w:cs="Arial"/>
                <w:color w:val="FF0000"/>
                <w:szCs w:val="18"/>
                <w:highlight w:val="yellow"/>
                <w:lang w:eastAsia="zh-CN"/>
              </w:rPr>
              <w:t xml:space="preserve">communicate via </w:t>
            </w:r>
            <w:r>
              <w:rPr>
                <w:rFonts w:cs="Arial"/>
                <w:strike/>
                <w:color w:val="FF0000"/>
                <w:szCs w:val="18"/>
                <w:highlight w:val="yellow"/>
                <w:lang w:eastAsia="zh-CN"/>
              </w:rPr>
              <w:t>[NTN</w:t>
            </w:r>
            <w:r>
              <w:rPr>
                <w:rFonts w:cs="Arial"/>
                <w:strike/>
                <w:color w:val="FF0000"/>
                <w:szCs w:val="18"/>
                <w:highlight w:val="yellow"/>
              </w:rPr>
              <w:t>/</w:t>
            </w:r>
            <w:r>
              <w:rPr>
                <w:rFonts w:cs="Arial"/>
                <w:strike/>
                <w:color w:val="FF0000"/>
                <w:szCs w:val="18"/>
                <w:highlight w:val="yellow"/>
                <w:lang w:eastAsia="zh-CN"/>
              </w:rPr>
              <w:t>satellite</w:t>
            </w:r>
            <w:r>
              <w:rPr>
                <w:rFonts w:cs="Arial"/>
                <w:strike/>
                <w:color w:val="FF0000"/>
                <w:szCs w:val="18"/>
                <w:highlight w:val="yellow"/>
              </w:rPr>
              <w:t>]</w:t>
            </w:r>
            <w:r>
              <w:rPr>
                <w:rFonts w:cs="Arial"/>
                <w:color w:val="FF0000"/>
                <w:szCs w:val="18"/>
                <w:highlight w:val="yellow"/>
              </w:rPr>
              <w:t xml:space="preserve"> GEO and NGSO NTNs]</w:t>
            </w:r>
          </w:p>
        </w:tc>
        <w:tc>
          <w:tcPr>
            <w:tcW w:w="1795" w:type="dxa"/>
            <w:tcBorders>
              <w:top w:val="single" w:sz="4" w:space="0" w:color="auto"/>
              <w:left w:val="single" w:sz="4" w:space="0" w:color="auto"/>
              <w:bottom w:val="single" w:sz="4" w:space="0" w:color="auto"/>
              <w:right w:val="single" w:sz="4" w:space="0" w:color="auto"/>
            </w:tcBorders>
          </w:tcPr>
          <w:p w14:paraId="425EAA09" w14:textId="4AB9FFC3" w:rsidR="00666B3C" w:rsidRDefault="00666B3C" w:rsidP="00666B3C">
            <w:pPr>
              <w:pStyle w:val="TAN"/>
              <w:ind w:left="0" w:firstLine="0"/>
              <w:rPr>
                <w:rFonts w:cs="Arial"/>
                <w:color w:val="000000"/>
                <w:szCs w:val="18"/>
                <w:highlight w:val="yellow"/>
              </w:rPr>
            </w:pPr>
            <w:r>
              <w:rPr>
                <w:rFonts w:cs="Arial"/>
                <w:color w:val="000000"/>
                <w:szCs w:val="18"/>
                <w:highlight w:val="yellow"/>
              </w:rPr>
              <w:t>[Per UE/per band]</w:t>
            </w:r>
          </w:p>
        </w:tc>
        <w:tc>
          <w:tcPr>
            <w:tcW w:w="1457" w:type="dxa"/>
            <w:tcBorders>
              <w:top w:val="single" w:sz="4" w:space="0" w:color="auto"/>
              <w:left w:val="single" w:sz="4" w:space="0" w:color="auto"/>
              <w:bottom w:val="single" w:sz="4" w:space="0" w:color="auto"/>
              <w:right w:val="single" w:sz="4" w:space="0" w:color="auto"/>
            </w:tcBorders>
          </w:tcPr>
          <w:p w14:paraId="44ADFE40" w14:textId="5C95BD2C" w:rsidR="00666B3C" w:rsidRDefault="00666B3C" w:rsidP="00666B3C">
            <w:pPr>
              <w:pStyle w:val="TAH"/>
              <w:rPr>
                <w:rFonts w:cs="Arial"/>
                <w:color w:val="000000"/>
                <w:szCs w:val="18"/>
              </w:rPr>
            </w:pPr>
            <w:r>
              <w:rPr>
                <w:rFonts w:cs="Arial"/>
                <w:color w:val="000000"/>
                <w:szCs w:val="18"/>
              </w:rPr>
              <w:t>No</w:t>
            </w:r>
          </w:p>
        </w:tc>
        <w:tc>
          <w:tcPr>
            <w:tcW w:w="1377" w:type="dxa"/>
            <w:tcBorders>
              <w:top w:val="single" w:sz="4" w:space="0" w:color="auto"/>
              <w:left w:val="single" w:sz="4" w:space="0" w:color="auto"/>
              <w:bottom w:val="single" w:sz="4" w:space="0" w:color="auto"/>
              <w:right w:val="single" w:sz="4" w:space="0" w:color="auto"/>
            </w:tcBorders>
          </w:tcPr>
          <w:p w14:paraId="61FFB510" w14:textId="778718F2" w:rsidR="00666B3C" w:rsidRDefault="00666B3C" w:rsidP="00666B3C">
            <w:pPr>
              <w:pStyle w:val="TAH"/>
              <w:rPr>
                <w:rFonts w:cs="Arial"/>
                <w:color w:val="000000"/>
                <w:szCs w:val="18"/>
              </w:rPr>
            </w:pPr>
            <w:r>
              <w:rPr>
                <w:rFonts w:cs="Arial"/>
                <w:color w:val="000000"/>
                <w:szCs w:val="18"/>
              </w:rPr>
              <w:t>No</w:t>
            </w:r>
          </w:p>
        </w:tc>
        <w:tc>
          <w:tcPr>
            <w:tcW w:w="1726" w:type="dxa"/>
            <w:tcBorders>
              <w:top w:val="single" w:sz="4" w:space="0" w:color="auto"/>
              <w:left w:val="single" w:sz="4" w:space="0" w:color="auto"/>
              <w:bottom w:val="single" w:sz="4" w:space="0" w:color="auto"/>
              <w:right w:val="single" w:sz="4" w:space="0" w:color="auto"/>
            </w:tcBorders>
          </w:tcPr>
          <w:p w14:paraId="29D22285" w14:textId="14D5058F" w:rsidR="00666B3C" w:rsidRPr="00507FA2" w:rsidRDefault="00666B3C" w:rsidP="00666B3C">
            <w:pPr>
              <w:pStyle w:val="TAH"/>
              <w:rPr>
                <w:rFonts w:cs="Arial"/>
                <w:szCs w:val="18"/>
              </w:rPr>
            </w:pPr>
            <w:r>
              <w:rPr>
                <w:rFonts w:cs="Arial"/>
                <w:color w:val="FF0000"/>
                <w:szCs w:val="18"/>
                <w:highlight w:val="yellow"/>
                <w:lang w:eastAsia="zh-CN"/>
              </w:rPr>
              <w:t>[</w:t>
            </w:r>
            <w:r>
              <w:rPr>
                <w:rFonts w:cs="Arial"/>
                <w:color w:val="000000"/>
                <w:szCs w:val="18"/>
                <w:highlight w:val="yellow"/>
                <w:lang w:eastAsia="zh-CN"/>
              </w:rPr>
              <w:t xml:space="preserve">For UEs support </w:t>
            </w:r>
            <w:r>
              <w:rPr>
                <w:rFonts w:cs="Arial"/>
                <w:color w:val="FF0000"/>
                <w:szCs w:val="18"/>
                <w:highlight w:val="yellow"/>
                <w:lang w:eastAsia="zh-CN"/>
              </w:rPr>
              <w:t xml:space="preserve">communicate via </w:t>
            </w:r>
            <w:r>
              <w:rPr>
                <w:rFonts w:cs="Arial"/>
                <w:color w:val="FF0000"/>
                <w:szCs w:val="18"/>
                <w:highlight w:val="yellow"/>
              </w:rPr>
              <w:t>GEO and NGSO NTNs</w:t>
            </w:r>
            <w:r>
              <w:rPr>
                <w:rFonts w:cs="Arial"/>
                <w:color w:val="000000"/>
                <w:szCs w:val="18"/>
                <w:highlight w:val="yellow"/>
                <w:lang w:eastAsia="zh-CN"/>
              </w:rPr>
              <w:t xml:space="preserve"> </w:t>
            </w:r>
            <w:r>
              <w:rPr>
                <w:rFonts w:cs="Arial"/>
                <w:strike/>
                <w:color w:val="FF0000"/>
                <w:szCs w:val="18"/>
                <w:highlight w:val="yellow"/>
                <w:lang w:eastAsia="zh-CN"/>
              </w:rPr>
              <w:t>NSGO scenarios</w:t>
            </w:r>
            <w:r>
              <w:rPr>
                <w:rFonts w:cs="Arial"/>
                <w:color w:val="000000"/>
                <w:szCs w:val="18"/>
                <w:highlight w:val="yellow"/>
                <w:lang w:eastAsia="zh-CN"/>
              </w:rPr>
              <w:t>, it must indicate this FG is supported.</w:t>
            </w:r>
            <w:r>
              <w:rPr>
                <w:rFonts w:cs="Arial"/>
                <w:color w:val="FF0000"/>
                <w:szCs w:val="18"/>
                <w:highlight w:val="yellow"/>
                <w:lang w:eastAsia="zh-CN"/>
              </w:rPr>
              <w:t>]</w:t>
            </w:r>
          </w:p>
        </w:tc>
        <w:tc>
          <w:tcPr>
            <w:tcW w:w="1907" w:type="dxa"/>
            <w:tcBorders>
              <w:top w:val="single" w:sz="4" w:space="0" w:color="auto"/>
              <w:left w:val="single" w:sz="4" w:space="0" w:color="auto"/>
              <w:bottom w:val="single" w:sz="4" w:space="0" w:color="auto"/>
              <w:right w:val="single" w:sz="4" w:space="0" w:color="auto"/>
            </w:tcBorders>
          </w:tcPr>
          <w:p w14:paraId="4B430C5A" w14:textId="77777777" w:rsidR="00666B3C" w:rsidRDefault="00666B3C" w:rsidP="00666B3C">
            <w:pPr>
              <w:pStyle w:val="TAL"/>
              <w:rPr>
                <w:rFonts w:cs="Arial"/>
                <w:color w:val="000000"/>
                <w:szCs w:val="18"/>
              </w:rPr>
            </w:pPr>
            <w:r>
              <w:rPr>
                <w:color w:val="000000"/>
              </w:rPr>
              <w:t>Optional with capability signalling</w:t>
            </w:r>
          </w:p>
          <w:p w14:paraId="663DA485" w14:textId="77777777" w:rsidR="00666B3C" w:rsidRDefault="00666B3C" w:rsidP="00666B3C">
            <w:pPr>
              <w:pStyle w:val="maintext"/>
              <w:ind w:firstLineChars="0" w:firstLine="0"/>
              <w:jc w:val="left"/>
              <w:rPr>
                <w:rFonts w:ascii="Arial" w:hAnsi="Arial" w:cs="Arial"/>
                <w:strike/>
                <w:color w:val="FF0000"/>
                <w:sz w:val="18"/>
                <w:szCs w:val="18"/>
              </w:rPr>
            </w:pPr>
          </w:p>
          <w:p w14:paraId="7D831DE2" w14:textId="65DD7BA0" w:rsidR="00666B3C" w:rsidRDefault="00666B3C" w:rsidP="00666B3C">
            <w:pPr>
              <w:pStyle w:val="TAL"/>
              <w:rPr>
                <w:color w:val="000000"/>
              </w:rPr>
            </w:pPr>
            <w:r>
              <w:rPr>
                <w:rFonts w:cs="Arial"/>
                <w:strike/>
                <w:color w:val="FF0000"/>
                <w:szCs w:val="18"/>
              </w:rPr>
              <w:t>[</w:t>
            </w:r>
            <w:r>
              <w:rPr>
                <w:rFonts w:cs="Arial"/>
                <w:color w:val="000000"/>
                <w:szCs w:val="18"/>
              </w:rPr>
              <w:t>Note: This UE feature group is applicable only for IoT-NTN cell, for terrestrial cell this feature is not supported</w:t>
            </w:r>
            <w:r>
              <w:rPr>
                <w:rFonts w:cs="Arial"/>
                <w:strike/>
                <w:color w:val="FF0000"/>
                <w:szCs w:val="18"/>
              </w:rPr>
              <w:t>]</w:t>
            </w:r>
          </w:p>
        </w:tc>
      </w:tr>
      <w:tr w:rsidR="00666B3C" w:rsidRPr="00507FA2" w14:paraId="1A9E9709" w14:textId="77777777" w:rsidTr="00685F68">
        <w:tc>
          <w:tcPr>
            <w:tcW w:w="2361" w:type="dxa"/>
            <w:tcBorders>
              <w:top w:val="single" w:sz="4" w:space="0" w:color="auto"/>
              <w:left w:val="single" w:sz="4" w:space="0" w:color="auto"/>
              <w:bottom w:val="single" w:sz="4" w:space="0" w:color="auto"/>
              <w:right w:val="single" w:sz="4" w:space="0" w:color="auto"/>
            </w:tcBorders>
          </w:tcPr>
          <w:p w14:paraId="78BDAD7A" w14:textId="52557093" w:rsidR="00666B3C" w:rsidRDefault="00666B3C" w:rsidP="00666B3C">
            <w:pPr>
              <w:pStyle w:val="TAL"/>
              <w:rPr>
                <w:rFonts w:cs="Arial"/>
                <w:color w:val="000000"/>
                <w:szCs w:val="18"/>
              </w:rPr>
            </w:pPr>
            <w:r>
              <w:rPr>
                <w:rFonts w:cs="Arial"/>
                <w:color w:val="FF0000"/>
                <w:szCs w:val="18"/>
              </w:rPr>
              <w:lastRenderedPageBreak/>
              <w:t xml:space="preserve">2. </w:t>
            </w:r>
            <w:proofErr w:type="spellStart"/>
            <w:r>
              <w:rPr>
                <w:rFonts w:cs="Arial"/>
                <w:color w:val="FF0000"/>
                <w:szCs w:val="18"/>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tcPr>
          <w:p w14:paraId="1FB527EE" w14:textId="32CC9DE8" w:rsidR="00666B3C" w:rsidRDefault="00666B3C" w:rsidP="00666B3C">
            <w:pPr>
              <w:pStyle w:val="TAL"/>
              <w:rPr>
                <w:rFonts w:cs="Arial"/>
                <w:color w:val="000000"/>
                <w:szCs w:val="18"/>
              </w:rPr>
            </w:pPr>
            <w:r>
              <w:rPr>
                <w:rFonts w:cs="Arial"/>
                <w:color w:val="FF0000"/>
                <w:szCs w:val="18"/>
              </w:rPr>
              <w:t>2-1b</w:t>
            </w:r>
          </w:p>
        </w:tc>
        <w:tc>
          <w:tcPr>
            <w:tcW w:w="1386" w:type="dxa"/>
            <w:tcBorders>
              <w:top w:val="single" w:sz="4" w:space="0" w:color="auto"/>
              <w:left w:val="single" w:sz="4" w:space="0" w:color="auto"/>
              <w:bottom w:val="single" w:sz="4" w:space="0" w:color="auto"/>
              <w:right w:val="single" w:sz="4" w:space="0" w:color="auto"/>
            </w:tcBorders>
          </w:tcPr>
          <w:p w14:paraId="03C9A869" w14:textId="6ED29356" w:rsidR="00666B3C" w:rsidRDefault="00666B3C" w:rsidP="00666B3C">
            <w:pPr>
              <w:pStyle w:val="TAL"/>
              <w:rPr>
                <w:rFonts w:cs="Arial"/>
                <w:color w:val="000000"/>
                <w:szCs w:val="18"/>
              </w:rPr>
            </w:pPr>
            <w:r>
              <w:rPr>
                <w:rFonts w:cs="Arial"/>
                <w:color w:val="FF0000"/>
                <w:szCs w:val="18"/>
              </w:rPr>
              <w:t>Basic IoT over NTN support for NB-IoT</w:t>
            </w:r>
          </w:p>
        </w:tc>
        <w:tc>
          <w:tcPr>
            <w:tcW w:w="4007" w:type="dxa"/>
            <w:tcBorders>
              <w:top w:val="single" w:sz="4" w:space="0" w:color="auto"/>
              <w:left w:val="single" w:sz="4" w:space="0" w:color="auto"/>
              <w:bottom w:val="single" w:sz="4" w:space="0" w:color="auto"/>
              <w:right w:val="single" w:sz="4" w:space="0" w:color="auto"/>
            </w:tcBorders>
          </w:tcPr>
          <w:p w14:paraId="1F6B4414" w14:textId="77777777" w:rsidR="00666B3C" w:rsidRDefault="00666B3C" w:rsidP="00666B3C">
            <w:pPr>
              <w:pStyle w:val="TAL"/>
              <w:rPr>
                <w:rFonts w:cs="Arial"/>
                <w:color w:val="FF0000"/>
                <w:szCs w:val="18"/>
              </w:rPr>
            </w:pPr>
            <w:r>
              <w:rPr>
                <w:color w:val="FF0000"/>
              </w:rPr>
              <w:t>1. UE derives its position based on its GNSS measurements</w:t>
            </w:r>
          </w:p>
          <w:p w14:paraId="711F743A" w14:textId="77777777" w:rsidR="00666B3C" w:rsidRDefault="00666B3C" w:rsidP="00666B3C">
            <w:pPr>
              <w:pStyle w:val="TAL"/>
              <w:rPr>
                <w:strike/>
                <w:color w:val="FF0000"/>
                <w:sz w:val="20"/>
              </w:rPr>
            </w:pPr>
            <w:r>
              <w:rPr>
                <w:strike/>
                <w:color w:val="FF0000"/>
              </w:rPr>
              <w:t>[</w:t>
            </w:r>
            <w:r>
              <w:rPr>
                <w:color w:val="FF0000"/>
              </w:rPr>
              <w:t>1-1. UE reports the information associated with the validity duration of GNSS</w:t>
            </w:r>
            <w:r>
              <w:rPr>
                <w:strike/>
                <w:color w:val="FF0000"/>
              </w:rPr>
              <w:t>]</w:t>
            </w:r>
          </w:p>
          <w:p w14:paraId="5EBAC16A" w14:textId="77777777" w:rsidR="00666B3C" w:rsidRDefault="00666B3C" w:rsidP="00666B3C">
            <w:pPr>
              <w:pStyle w:val="TAL"/>
              <w:rPr>
                <w:color w:val="FF0000"/>
              </w:rPr>
            </w:pPr>
            <w:r>
              <w:rPr>
                <w:color w:val="FF0000"/>
              </w:rPr>
              <w:t xml:space="preserve">2. UE receives serving satellite ephemeris in either state vector format or orbital element format </w:t>
            </w:r>
          </w:p>
          <w:p w14:paraId="3D9AF286" w14:textId="77777777" w:rsidR="00666B3C" w:rsidRDefault="00666B3C" w:rsidP="00666B3C">
            <w:pPr>
              <w:spacing w:afterLines="50" w:after="120"/>
              <w:contextualSpacing/>
              <w:rPr>
                <w:rFonts w:cs="Arial"/>
                <w:color w:val="FF0000"/>
                <w:sz w:val="18"/>
                <w:szCs w:val="18"/>
              </w:rPr>
            </w:pPr>
            <w:r>
              <w:rPr>
                <w:rFonts w:cs="Arial"/>
                <w:color w:val="FF0000"/>
                <w:sz w:val="18"/>
                <w:szCs w:val="18"/>
              </w:rPr>
              <w:t>4. UE calculates UE specific TA in RRC_IDLE and RRC_CONNECTED state based on its GNSS-acquired position and the serving satellite ephemeris</w:t>
            </w:r>
          </w:p>
          <w:p w14:paraId="7C56D18C" w14:textId="77777777" w:rsidR="00666B3C" w:rsidRDefault="00666B3C" w:rsidP="00666B3C">
            <w:pPr>
              <w:rPr>
                <w:rFonts w:cs="Arial"/>
                <w:color w:val="FF0000"/>
                <w:sz w:val="18"/>
                <w:szCs w:val="18"/>
              </w:rPr>
            </w:pPr>
            <w:r>
              <w:rPr>
                <w:rFonts w:cs="Arial"/>
                <w:color w:val="FF0000"/>
                <w:sz w:val="18"/>
                <w:szCs w:val="18"/>
              </w:rPr>
              <w:t>6. UE calculates common TA in RRC_IDLE and RRC_CONNECTED according to the parameters provided by the network (UE considers common TA as 0 if the parameter is not provided)</w:t>
            </w:r>
          </w:p>
          <w:p w14:paraId="29B1E404" w14:textId="77777777" w:rsidR="00666B3C" w:rsidRDefault="00666B3C" w:rsidP="00666B3C">
            <w:pPr>
              <w:pStyle w:val="TAL"/>
              <w:rPr>
                <w:rFonts w:cs="Arial"/>
                <w:color w:val="FF0000"/>
                <w:szCs w:val="18"/>
              </w:rPr>
            </w:pPr>
            <w:r>
              <w:rPr>
                <w:color w:val="FF0000"/>
              </w:rPr>
              <w:t>7. For TA update in RRC_CONNECTED state, UE uses a combination of both open (i.e. UE autonomous TA estimation, and common TA estimation) and closed (i.e., received TA commands) control loops</w:t>
            </w:r>
          </w:p>
          <w:p w14:paraId="2885468B" w14:textId="77777777" w:rsidR="00666B3C" w:rsidRDefault="00666B3C" w:rsidP="00666B3C">
            <w:pPr>
              <w:pStyle w:val="TAL"/>
              <w:rPr>
                <w:color w:val="FF0000"/>
                <w:sz w:val="20"/>
              </w:rPr>
            </w:pPr>
            <w:r>
              <w:rPr>
                <w:color w:val="FF0000"/>
              </w:rPr>
              <w:t>8. In RRC_IDLE and RRC_CONNECTED state, UE calculates frequency pre-compensation to counter shift the Doppler experienced on the service link</w:t>
            </w:r>
          </w:p>
          <w:p w14:paraId="1BF01B37" w14:textId="77777777" w:rsidR="00666B3C" w:rsidRDefault="00666B3C" w:rsidP="00666B3C">
            <w:pPr>
              <w:pStyle w:val="TAL"/>
              <w:rPr>
                <w:color w:val="FF0000"/>
              </w:rPr>
            </w:pPr>
            <w:r>
              <w:rPr>
                <w:color w:val="FF0000"/>
              </w:rPr>
              <w:t xml:space="preserve">10. UE supports a validity timer of UL synchronization that is configured by the network </w:t>
            </w:r>
          </w:p>
          <w:p w14:paraId="6550C2DA" w14:textId="77777777" w:rsidR="00666B3C" w:rsidRDefault="00666B3C" w:rsidP="00666B3C">
            <w:pPr>
              <w:pStyle w:val="TAL"/>
              <w:rPr>
                <w:color w:val="FF0000"/>
              </w:rPr>
            </w:pPr>
            <w:r>
              <w:rPr>
                <w:color w:val="FF0000"/>
              </w:rPr>
              <w:t xml:space="preserve">13. UE applies cell specific </w:t>
            </w:r>
            <w:proofErr w:type="spellStart"/>
            <w:r>
              <w:rPr>
                <w:color w:val="FF0000"/>
              </w:rPr>
              <w:t>K_offset</w:t>
            </w:r>
            <w:proofErr w:type="spellEnd"/>
            <w:r>
              <w:rPr>
                <w:color w:val="FF0000"/>
              </w:rPr>
              <w:t xml:space="preserve"> in timing relationship enhancements</w:t>
            </w:r>
          </w:p>
          <w:p w14:paraId="66501609" w14:textId="77777777" w:rsidR="00666B3C" w:rsidRDefault="00666B3C" w:rsidP="00666B3C">
            <w:pPr>
              <w:pStyle w:val="TAL"/>
              <w:rPr>
                <w:color w:val="FF0000"/>
              </w:rPr>
            </w:pPr>
            <w:r>
              <w:rPr>
                <w:color w:val="FF0000"/>
              </w:rPr>
              <w:t>15. UE estimates UE-</w:t>
            </w:r>
            <w:proofErr w:type="spellStart"/>
            <w:r>
              <w:rPr>
                <w:color w:val="FF0000"/>
              </w:rPr>
              <w:t>gNB</w:t>
            </w:r>
            <w:proofErr w:type="spellEnd"/>
            <w:r>
              <w:rPr>
                <w:color w:val="FF0000"/>
              </w:rPr>
              <w:t xml:space="preserve"> RTT and delays the starts of </w:t>
            </w:r>
            <w:proofErr w:type="spellStart"/>
            <w:r>
              <w:rPr>
                <w:color w:val="FF0000"/>
              </w:rPr>
              <w:t>ra-ResponseWindow</w:t>
            </w:r>
            <w:proofErr w:type="spellEnd"/>
            <w:r>
              <w:rPr>
                <w:color w:val="FF0000"/>
              </w:rPr>
              <w:t xml:space="preserve"> by UE-</w:t>
            </w:r>
            <w:proofErr w:type="spellStart"/>
            <w:r>
              <w:rPr>
                <w:color w:val="FF0000"/>
              </w:rPr>
              <w:t>gNB</w:t>
            </w:r>
            <w:proofErr w:type="spellEnd"/>
            <w:r>
              <w:rPr>
                <w:color w:val="FF0000"/>
              </w:rPr>
              <w:t xml:space="preserve"> RTT</w:t>
            </w:r>
          </w:p>
          <w:p w14:paraId="296A463D" w14:textId="77777777" w:rsidR="00666B3C" w:rsidRDefault="00666B3C" w:rsidP="00666B3C">
            <w:pPr>
              <w:pStyle w:val="TAL"/>
              <w:rPr>
                <w:color w:val="FF0000"/>
              </w:rPr>
            </w:pPr>
            <w:r>
              <w:rPr>
                <w:color w:val="FF0000"/>
              </w:rPr>
              <w:t xml:space="preserve">16. Delay the UE action and assumption on a downlink configuration carried by MAC CE command by </w:t>
            </w:r>
            <w:proofErr w:type="spellStart"/>
            <w:r>
              <w:rPr>
                <w:color w:val="FF0000"/>
              </w:rPr>
              <w:t>K_mac</w:t>
            </w:r>
            <w:proofErr w:type="spellEnd"/>
            <w:r>
              <w:rPr>
                <w:color w:val="FF0000"/>
              </w:rPr>
              <w:t xml:space="preserve"> if it is indicated</w:t>
            </w:r>
          </w:p>
          <w:p w14:paraId="6D156C5F" w14:textId="77777777" w:rsidR="00666B3C" w:rsidRDefault="00666B3C" w:rsidP="00666B3C">
            <w:pPr>
              <w:pStyle w:val="TAL"/>
              <w:rPr>
                <w:color w:val="FF0000"/>
              </w:rPr>
            </w:pPr>
            <w:r>
              <w:rPr>
                <w:color w:val="FF0000"/>
              </w:rPr>
              <w:t>17. In RRC_IDLE state and RRC_CONNECTED state, UE pre-compensates the calculated frequency offset and TA in uplink transmissions</w:t>
            </w:r>
          </w:p>
          <w:p w14:paraId="6A4E7A8A" w14:textId="69EB6D06" w:rsidR="00666B3C" w:rsidRDefault="00666B3C" w:rsidP="00666B3C">
            <w:pPr>
              <w:pStyle w:val="TAL"/>
              <w:rPr>
                <w:color w:val="000000"/>
              </w:rPr>
            </w:pPr>
            <w:r>
              <w:rPr>
                <w:color w:val="FF0000"/>
              </w:rPr>
              <w:t xml:space="preserve">18. UE receives cell-specific </w:t>
            </w:r>
            <w:proofErr w:type="spellStart"/>
            <w:r>
              <w:rPr>
                <w:color w:val="FF0000"/>
              </w:rPr>
              <w:t>K_offset</w:t>
            </w:r>
            <w:proofErr w:type="spellEnd"/>
            <w:r>
              <w:rPr>
                <w:color w:val="FF0000"/>
              </w:rPr>
              <w:t>/</w:t>
            </w:r>
            <w:proofErr w:type="spellStart"/>
            <w:r>
              <w:rPr>
                <w:color w:val="FF0000"/>
              </w:rPr>
              <w:t>K_mac</w:t>
            </w:r>
            <w:proofErr w:type="spellEnd"/>
            <w:r>
              <w:rPr>
                <w:color w:val="FF0000"/>
              </w:rPr>
              <w:t xml:space="preserve"> in system information</w:t>
            </w:r>
          </w:p>
        </w:tc>
        <w:tc>
          <w:tcPr>
            <w:tcW w:w="1257" w:type="dxa"/>
            <w:tcBorders>
              <w:top w:val="single" w:sz="4" w:space="0" w:color="auto"/>
              <w:left w:val="single" w:sz="4" w:space="0" w:color="auto"/>
              <w:bottom w:val="single" w:sz="4" w:space="0" w:color="auto"/>
              <w:right w:val="single" w:sz="4" w:space="0" w:color="auto"/>
            </w:tcBorders>
          </w:tcPr>
          <w:p w14:paraId="5FBFFB63" w14:textId="77777777" w:rsidR="00666B3C" w:rsidRPr="00507FA2" w:rsidRDefault="00666B3C" w:rsidP="00666B3C">
            <w:pPr>
              <w:pStyle w:val="TAH"/>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631BFD73" w14:textId="07C26A68" w:rsidR="00666B3C" w:rsidRDefault="00666B3C" w:rsidP="00666B3C">
            <w:pPr>
              <w:pStyle w:val="TAH"/>
              <w:rPr>
                <w:rFonts w:cs="Arial"/>
                <w:color w:val="000000"/>
                <w:szCs w:val="18"/>
              </w:rPr>
            </w:pPr>
            <w:r>
              <w:rPr>
                <w:rFonts w:cs="Arial"/>
                <w:color w:val="FF0000"/>
                <w:szCs w:val="18"/>
              </w:rPr>
              <w:t>Yes</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43D7019D" w14:textId="4878C87C" w:rsidR="00666B3C" w:rsidRDefault="00666B3C" w:rsidP="00666B3C">
            <w:pPr>
              <w:pStyle w:val="TAH"/>
              <w:rPr>
                <w:rFonts w:cs="Arial"/>
                <w:color w:val="000000"/>
                <w:szCs w:val="18"/>
              </w:rPr>
            </w:pPr>
            <w:r>
              <w:rPr>
                <w:rFonts w:cs="Arial"/>
                <w:color w:val="FF0000"/>
                <w:szCs w:val="18"/>
              </w:rPr>
              <w:t>N/A</w:t>
            </w:r>
          </w:p>
        </w:tc>
        <w:tc>
          <w:tcPr>
            <w:tcW w:w="1397" w:type="dxa"/>
            <w:tcBorders>
              <w:top w:val="single" w:sz="4" w:space="0" w:color="auto"/>
              <w:left w:val="single" w:sz="4" w:space="0" w:color="auto"/>
              <w:bottom w:val="single" w:sz="4" w:space="0" w:color="auto"/>
              <w:right w:val="single" w:sz="4" w:space="0" w:color="auto"/>
            </w:tcBorders>
          </w:tcPr>
          <w:p w14:paraId="2A65BFE6" w14:textId="5CB0196F" w:rsidR="00666B3C" w:rsidRDefault="00666B3C" w:rsidP="00666B3C">
            <w:pPr>
              <w:pStyle w:val="TAN"/>
              <w:ind w:left="0" w:firstLine="0"/>
              <w:rPr>
                <w:rFonts w:cs="Arial"/>
                <w:color w:val="000000"/>
                <w:szCs w:val="18"/>
              </w:rPr>
            </w:pPr>
            <w:r>
              <w:rPr>
                <w:rFonts w:cs="Arial"/>
                <w:color w:val="FF0000"/>
                <w:szCs w:val="18"/>
              </w:rPr>
              <w:t xml:space="preserve">Release 17 NB-IoT UE cannot </w:t>
            </w:r>
            <w:r>
              <w:rPr>
                <w:rFonts w:cs="Arial"/>
                <w:color w:val="FF0000"/>
                <w:szCs w:val="18"/>
                <w:lang w:eastAsia="zh-CN"/>
              </w:rPr>
              <w:t xml:space="preserve">communicate via </w:t>
            </w:r>
            <w:r>
              <w:rPr>
                <w:rFonts w:cs="Arial"/>
                <w:color w:val="FF0000"/>
                <w:szCs w:val="18"/>
              </w:rPr>
              <w:t>satellite</w:t>
            </w:r>
          </w:p>
        </w:tc>
        <w:tc>
          <w:tcPr>
            <w:tcW w:w="1795" w:type="dxa"/>
            <w:tcBorders>
              <w:top w:val="single" w:sz="4" w:space="0" w:color="auto"/>
              <w:left w:val="single" w:sz="4" w:space="0" w:color="auto"/>
              <w:bottom w:val="single" w:sz="4" w:space="0" w:color="auto"/>
              <w:right w:val="single" w:sz="4" w:space="0" w:color="auto"/>
            </w:tcBorders>
          </w:tcPr>
          <w:p w14:paraId="1C7FA88F" w14:textId="6ACC8FBD" w:rsidR="00666B3C" w:rsidRDefault="00666B3C" w:rsidP="00666B3C">
            <w:pPr>
              <w:pStyle w:val="TAN"/>
              <w:ind w:left="0" w:firstLine="0"/>
              <w:rPr>
                <w:rFonts w:cs="Arial"/>
                <w:color w:val="000000"/>
                <w:szCs w:val="18"/>
                <w:highlight w:val="yellow"/>
              </w:rPr>
            </w:pPr>
            <w:r>
              <w:rPr>
                <w:rFonts w:cs="Arial"/>
                <w:color w:val="FF0000"/>
                <w:szCs w:val="18"/>
                <w:highlight w:val="yellow"/>
              </w:rPr>
              <w:t>[Per UE/per band]</w:t>
            </w:r>
          </w:p>
        </w:tc>
        <w:tc>
          <w:tcPr>
            <w:tcW w:w="1457" w:type="dxa"/>
            <w:tcBorders>
              <w:top w:val="single" w:sz="4" w:space="0" w:color="auto"/>
              <w:left w:val="single" w:sz="4" w:space="0" w:color="auto"/>
              <w:bottom w:val="single" w:sz="4" w:space="0" w:color="auto"/>
              <w:right w:val="single" w:sz="4" w:space="0" w:color="auto"/>
            </w:tcBorders>
          </w:tcPr>
          <w:p w14:paraId="68722CCB" w14:textId="44B32C63" w:rsidR="00666B3C" w:rsidRDefault="00666B3C" w:rsidP="00666B3C">
            <w:pPr>
              <w:pStyle w:val="TAH"/>
              <w:rPr>
                <w:rFonts w:cs="Arial"/>
                <w:color w:val="000000"/>
                <w:szCs w:val="18"/>
              </w:rPr>
            </w:pPr>
            <w:r>
              <w:rPr>
                <w:rFonts w:cs="Arial"/>
                <w:color w:val="FF0000"/>
                <w:szCs w:val="18"/>
              </w:rPr>
              <w:t>No</w:t>
            </w:r>
          </w:p>
        </w:tc>
        <w:tc>
          <w:tcPr>
            <w:tcW w:w="1377" w:type="dxa"/>
            <w:tcBorders>
              <w:top w:val="single" w:sz="4" w:space="0" w:color="auto"/>
              <w:left w:val="single" w:sz="4" w:space="0" w:color="auto"/>
              <w:bottom w:val="single" w:sz="4" w:space="0" w:color="auto"/>
              <w:right w:val="single" w:sz="4" w:space="0" w:color="auto"/>
            </w:tcBorders>
          </w:tcPr>
          <w:p w14:paraId="7F2D6672" w14:textId="28BAAD01" w:rsidR="00666B3C" w:rsidRDefault="00666B3C" w:rsidP="00666B3C">
            <w:pPr>
              <w:pStyle w:val="TAH"/>
              <w:rPr>
                <w:rFonts w:cs="Arial"/>
                <w:color w:val="000000"/>
                <w:szCs w:val="18"/>
              </w:rPr>
            </w:pPr>
            <w:r>
              <w:rPr>
                <w:rFonts w:cs="Arial"/>
                <w:color w:val="FF0000"/>
                <w:szCs w:val="18"/>
              </w:rPr>
              <w:t>No</w:t>
            </w:r>
          </w:p>
        </w:tc>
        <w:tc>
          <w:tcPr>
            <w:tcW w:w="1726" w:type="dxa"/>
            <w:tcBorders>
              <w:top w:val="single" w:sz="4" w:space="0" w:color="auto"/>
              <w:left w:val="single" w:sz="4" w:space="0" w:color="auto"/>
              <w:bottom w:val="single" w:sz="4" w:space="0" w:color="auto"/>
              <w:right w:val="single" w:sz="4" w:space="0" w:color="auto"/>
            </w:tcBorders>
          </w:tcPr>
          <w:p w14:paraId="0BC0298A" w14:textId="77777777" w:rsidR="00666B3C" w:rsidRPr="00507FA2" w:rsidRDefault="00666B3C" w:rsidP="00666B3C">
            <w:pPr>
              <w:pStyle w:val="TAH"/>
              <w:rPr>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C8BCD71" w14:textId="77777777" w:rsidR="00666B3C" w:rsidRDefault="00666B3C" w:rsidP="00666B3C">
            <w:pPr>
              <w:pStyle w:val="TAL"/>
              <w:rPr>
                <w:color w:val="FF0000"/>
                <w:sz w:val="20"/>
              </w:rPr>
            </w:pPr>
            <w:r>
              <w:rPr>
                <w:color w:val="FF0000"/>
              </w:rPr>
              <w:t>Optional with capability signalling</w:t>
            </w:r>
          </w:p>
          <w:p w14:paraId="3A5525DE" w14:textId="77777777" w:rsidR="00666B3C" w:rsidRDefault="00666B3C" w:rsidP="00666B3C">
            <w:pPr>
              <w:pStyle w:val="TAL"/>
              <w:rPr>
                <w:color w:val="FF0000"/>
              </w:rPr>
            </w:pPr>
          </w:p>
          <w:p w14:paraId="6F9A89DE" w14:textId="77777777" w:rsidR="00666B3C" w:rsidRDefault="00666B3C" w:rsidP="00666B3C">
            <w:pPr>
              <w:pStyle w:val="TAL"/>
              <w:rPr>
                <w:color w:val="FF0000"/>
              </w:rPr>
            </w:pPr>
            <w:r>
              <w:rPr>
                <w:color w:val="FF0000"/>
              </w:rPr>
              <w:t>For UEs supporting NB-IoT NTN, it must indicate this FG is supported</w:t>
            </w:r>
          </w:p>
          <w:p w14:paraId="16A7E9C9" w14:textId="77777777" w:rsidR="00666B3C" w:rsidRDefault="00666B3C" w:rsidP="00666B3C">
            <w:pPr>
              <w:pStyle w:val="TAL"/>
              <w:rPr>
                <w:color w:val="FF0000"/>
              </w:rPr>
            </w:pPr>
          </w:p>
          <w:p w14:paraId="66064C00" w14:textId="42C0794B" w:rsidR="00666B3C" w:rsidRDefault="00666B3C" w:rsidP="00666B3C">
            <w:pPr>
              <w:pStyle w:val="TAL"/>
              <w:rPr>
                <w:color w:val="000000"/>
              </w:rPr>
            </w:pPr>
            <w:r>
              <w:rPr>
                <w:color w:val="FF0000"/>
              </w:rPr>
              <w:t>Note: This UE feature group is applicable only for IoT-NTN cell for communication via satellite, for any other cell this feature is not supported</w:t>
            </w:r>
          </w:p>
        </w:tc>
      </w:tr>
      <w:tr w:rsidR="00666B3C" w:rsidRPr="00507FA2" w14:paraId="791E29B1" w14:textId="77777777" w:rsidTr="00685F68">
        <w:tc>
          <w:tcPr>
            <w:tcW w:w="2361" w:type="dxa"/>
            <w:tcBorders>
              <w:top w:val="single" w:sz="4" w:space="0" w:color="auto"/>
              <w:left w:val="single" w:sz="4" w:space="0" w:color="auto"/>
              <w:bottom w:val="single" w:sz="4" w:space="0" w:color="auto"/>
              <w:right w:val="single" w:sz="4" w:space="0" w:color="auto"/>
            </w:tcBorders>
          </w:tcPr>
          <w:p w14:paraId="5B3713B8" w14:textId="4FD3BBA6" w:rsidR="00666B3C" w:rsidRDefault="00666B3C" w:rsidP="00666B3C">
            <w:pPr>
              <w:pStyle w:val="TAL"/>
              <w:rPr>
                <w:rFonts w:cs="Arial"/>
                <w:color w:val="000000"/>
                <w:szCs w:val="18"/>
              </w:rPr>
            </w:pPr>
            <w:r>
              <w:rPr>
                <w:rFonts w:cs="Arial"/>
                <w:color w:val="FF0000"/>
                <w:szCs w:val="18"/>
              </w:rPr>
              <w:t xml:space="preserve">2. </w:t>
            </w:r>
            <w:proofErr w:type="spellStart"/>
            <w:r>
              <w:rPr>
                <w:rFonts w:cs="Arial"/>
                <w:color w:val="FF0000"/>
                <w:szCs w:val="18"/>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tcPr>
          <w:p w14:paraId="6AFC73D3" w14:textId="08D2BF07" w:rsidR="00666B3C" w:rsidRDefault="00666B3C" w:rsidP="00666B3C">
            <w:pPr>
              <w:pStyle w:val="TAL"/>
              <w:rPr>
                <w:rFonts w:cs="Arial"/>
                <w:color w:val="000000"/>
                <w:szCs w:val="18"/>
              </w:rPr>
            </w:pPr>
            <w:r>
              <w:rPr>
                <w:rFonts w:cs="Arial"/>
                <w:color w:val="FF0000"/>
                <w:szCs w:val="18"/>
              </w:rPr>
              <w:t>2-1c</w:t>
            </w:r>
          </w:p>
        </w:tc>
        <w:tc>
          <w:tcPr>
            <w:tcW w:w="1386" w:type="dxa"/>
            <w:tcBorders>
              <w:top w:val="single" w:sz="4" w:space="0" w:color="auto"/>
              <w:left w:val="single" w:sz="4" w:space="0" w:color="auto"/>
              <w:bottom w:val="single" w:sz="4" w:space="0" w:color="auto"/>
              <w:right w:val="single" w:sz="4" w:space="0" w:color="auto"/>
            </w:tcBorders>
          </w:tcPr>
          <w:p w14:paraId="71F45AC3" w14:textId="17F71C5A" w:rsidR="00666B3C" w:rsidRDefault="00666B3C" w:rsidP="00666B3C">
            <w:pPr>
              <w:pStyle w:val="TAL"/>
              <w:rPr>
                <w:rFonts w:cs="Arial"/>
                <w:color w:val="000000"/>
                <w:szCs w:val="18"/>
              </w:rPr>
            </w:pPr>
            <w:r>
              <w:rPr>
                <w:rFonts w:cs="Arial"/>
                <w:color w:val="FF0000"/>
                <w:szCs w:val="18"/>
              </w:rPr>
              <w:t>Segmented UL transmission for NB-IoT</w:t>
            </w:r>
          </w:p>
        </w:tc>
        <w:tc>
          <w:tcPr>
            <w:tcW w:w="4007" w:type="dxa"/>
            <w:tcBorders>
              <w:top w:val="single" w:sz="4" w:space="0" w:color="auto"/>
              <w:left w:val="single" w:sz="4" w:space="0" w:color="auto"/>
              <w:bottom w:val="single" w:sz="4" w:space="0" w:color="auto"/>
              <w:right w:val="single" w:sz="4" w:space="0" w:color="auto"/>
            </w:tcBorders>
          </w:tcPr>
          <w:p w14:paraId="7E0773FF" w14:textId="77777777" w:rsidR="00666B3C" w:rsidRDefault="00666B3C" w:rsidP="00666B3C">
            <w:pPr>
              <w:pStyle w:val="TAL"/>
              <w:rPr>
                <w:rFonts w:cs="Arial"/>
                <w:color w:val="FF0000"/>
                <w:szCs w:val="18"/>
              </w:rPr>
            </w:pPr>
            <w:r>
              <w:rPr>
                <w:color w:val="FF0000"/>
              </w:rPr>
              <w:t xml:space="preserve">1. UE applies segmented UL transmission according to duration configuration by the network </w:t>
            </w:r>
          </w:p>
          <w:p w14:paraId="464AE772" w14:textId="77777777" w:rsidR="00666B3C" w:rsidRDefault="00666B3C" w:rsidP="00666B3C">
            <w:pPr>
              <w:pStyle w:val="TAL"/>
              <w:rPr>
                <w:color w:val="000000"/>
              </w:rPr>
            </w:pPr>
          </w:p>
        </w:tc>
        <w:tc>
          <w:tcPr>
            <w:tcW w:w="1257" w:type="dxa"/>
            <w:tcBorders>
              <w:top w:val="single" w:sz="4" w:space="0" w:color="auto"/>
              <w:left w:val="single" w:sz="4" w:space="0" w:color="auto"/>
              <w:bottom w:val="single" w:sz="4" w:space="0" w:color="auto"/>
              <w:right w:val="single" w:sz="4" w:space="0" w:color="auto"/>
            </w:tcBorders>
          </w:tcPr>
          <w:p w14:paraId="429DDCF3" w14:textId="7EF9EC87" w:rsidR="00666B3C" w:rsidRPr="00507FA2" w:rsidRDefault="00666B3C" w:rsidP="00666B3C">
            <w:pPr>
              <w:pStyle w:val="TAH"/>
              <w:rPr>
                <w:rFonts w:cs="Arial"/>
                <w:szCs w:val="18"/>
              </w:rPr>
            </w:pPr>
            <w:r>
              <w:rPr>
                <w:rFonts w:cs="Arial"/>
                <w:color w:val="FF0000"/>
                <w:szCs w:val="18"/>
              </w:rPr>
              <w:t>2-1b</w:t>
            </w:r>
          </w:p>
        </w:tc>
        <w:tc>
          <w:tcPr>
            <w:tcW w:w="1096" w:type="dxa"/>
            <w:tcBorders>
              <w:top w:val="single" w:sz="4" w:space="0" w:color="auto"/>
              <w:left w:val="single" w:sz="4" w:space="0" w:color="auto"/>
              <w:bottom w:val="single" w:sz="4" w:space="0" w:color="auto"/>
              <w:right w:val="single" w:sz="4" w:space="0" w:color="auto"/>
            </w:tcBorders>
          </w:tcPr>
          <w:p w14:paraId="3D323CA1" w14:textId="54F3F0A7" w:rsidR="00666B3C" w:rsidRDefault="00666B3C" w:rsidP="00666B3C">
            <w:pPr>
              <w:pStyle w:val="TAH"/>
              <w:rPr>
                <w:rFonts w:cs="Arial"/>
                <w:color w:val="000000"/>
                <w:szCs w:val="18"/>
              </w:rPr>
            </w:pPr>
            <w:r>
              <w:rPr>
                <w:rFonts w:cs="Arial"/>
                <w:color w:val="FF0000"/>
                <w:szCs w:val="18"/>
              </w:rPr>
              <w:t>Yes</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4B4CCAF9" w14:textId="2D640904" w:rsidR="00666B3C" w:rsidRDefault="00666B3C" w:rsidP="00666B3C">
            <w:pPr>
              <w:pStyle w:val="TAH"/>
              <w:rPr>
                <w:rFonts w:cs="Arial"/>
                <w:color w:val="000000"/>
                <w:szCs w:val="18"/>
              </w:rPr>
            </w:pPr>
            <w:r>
              <w:rPr>
                <w:rFonts w:cs="Arial"/>
                <w:color w:val="FF0000"/>
                <w:szCs w:val="18"/>
              </w:rPr>
              <w:t>N/A</w:t>
            </w:r>
          </w:p>
        </w:tc>
        <w:tc>
          <w:tcPr>
            <w:tcW w:w="1397" w:type="dxa"/>
            <w:tcBorders>
              <w:top w:val="single" w:sz="4" w:space="0" w:color="auto"/>
              <w:left w:val="single" w:sz="4" w:space="0" w:color="auto"/>
              <w:bottom w:val="single" w:sz="4" w:space="0" w:color="auto"/>
              <w:right w:val="single" w:sz="4" w:space="0" w:color="auto"/>
            </w:tcBorders>
          </w:tcPr>
          <w:p w14:paraId="5C138E2B" w14:textId="71BAA9D4" w:rsidR="00666B3C" w:rsidRDefault="00666B3C" w:rsidP="00666B3C">
            <w:pPr>
              <w:pStyle w:val="TAN"/>
              <w:ind w:left="0" w:firstLine="0"/>
              <w:rPr>
                <w:rFonts w:cs="Arial"/>
                <w:color w:val="000000"/>
                <w:szCs w:val="18"/>
              </w:rPr>
            </w:pPr>
            <w:r>
              <w:rPr>
                <w:rFonts w:cs="Arial"/>
                <w:color w:val="FF0000"/>
                <w:szCs w:val="18"/>
              </w:rPr>
              <w:t xml:space="preserve">Release 17 NB-IoT UE cannot </w:t>
            </w:r>
            <w:r>
              <w:rPr>
                <w:rFonts w:cs="Arial"/>
                <w:color w:val="FF0000"/>
                <w:szCs w:val="18"/>
                <w:lang w:eastAsia="zh-CN"/>
              </w:rPr>
              <w:t xml:space="preserve">communicate via </w:t>
            </w:r>
            <w:r>
              <w:rPr>
                <w:rFonts w:cs="Arial"/>
                <w:color w:val="FF0000"/>
                <w:szCs w:val="18"/>
              </w:rPr>
              <w:t>NGSO NTNs</w:t>
            </w:r>
          </w:p>
        </w:tc>
        <w:tc>
          <w:tcPr>
            <w:tcW w:w="1795" w:type="dxa"/>
            <w:tcBorders>
              <w:top w:val="single" w:sz="4" w:space="0" w:color="auto"/>
              <w:left w:val="single" w:sz="4" w:space="0" w:color="auto"/>
              <w:bottom w:val="single" w:sz="4" w:space="0" w:color="auto"/>
              <w:right w:val="single" w:sz="4" w:space="0" w:color="auto"/>
            </w:tcBorders>
          </w:tcPr>
          <w:p w14:paraId="7541EE0C" w14:textId="21121FE1" w:rsidR="00666B3C" w:rsidRDefault="00666B3C" w:rsidP="00666B3C">
            <w:pPr>
              <w:pStyle w:val="TAN"/>
              <w:ind w:left="0" w:firstLine="0"/>
              <w:rPr>
                <w:rFonts w:cs="Arial"/>
                <w:color w:val="000000"/>
                <w:szCs w:val="18"/>
                <w:highlight w:val="yellow"/>
              </w:rPr>
            </w:pPr>
            <w:r>
              <w:rPr>
                <w:rFonts w:cs="Arial"/>
                <w:color w:val="FF0000"/>
                <w:szCs w:val="18"/>
                <w:highlight w:val="yellow"/>
              </w:rPr>
              <w:t>[Per UE/per band]</w:t>
            </w:r>
          </w:p>
        </w:tc>
        <w:tc>
          <w:tcPr>
            <w:tcW w:w="1457" w:type="dxa"/>
            <w:tcBorders>
              <w:top w:val="single" w:sz="4" w:space="0" w:color="auto"/>
              <w:left w:val="single" w:sz="4" w:space="0" w:color="auto"/>
              <w:bottom w:val="single" w:sz="4" w:space="0" w:color="auto"/>
              <w:right w:val="single" w:sz="4" w:space="0" w:color="auto"/>
            </w:tcBorders>
          </w:tcPr>
          <w:p w14:paraId="7D5627CF" w14:textId="4F5DC9F0" w:rsidR="00666B3C" w:rsidRDefault="00666B3C" w:rsidP="00666B3C">
            <w:pPr>
              <w:pStyle w:val="TAH"/>
              <w:rPr>
                <w:rFonts w:cs="Arial"/>
                <w:color w:val="000000"/>
                <w:szCs w:val="18"/>
              </w:rPr>
            </w:pPr>
            <w:r>
              <w:rPr>
                <w:rFonts w:cs="Arial"/>
                <w:color w:val="FF0000"/>
                <w:szCs w:val="18"/>
              </w:rPr>
              <w:t>No</w:t>
            </w:r>
          </w:p>
        </w:tc>
        <w:tc>
          <w:tcPr>
            <w:tcW w:w="1377" w:type="dxa"/>
            <w:tcBorders>
              <w:top w:val="single" w:sz="4" w:space="0" w:color="auto"/>
              <w:left w:val="single" w:sz="4" w:space="0" w:color="auto"/>
              <w:bottom w:val="single" w:sz="4" w:space="0" w:color="auto"/>
              <w:right w:val="single" w:sz="4" w:space="0" w:color="auto"/>
            </w:tcBorders>
          </w:tcPr>
          <w:p w14:paraId="6D422E4D" w14:textId="5C18D5CD" w:rsidR="00666B3C" w:rsidRDefault="00666B3C" w:rsidP="00666B3C">
            <w:pPr>
              <w:pStyle w:val="TAH"/>
              <w:rPr>
                <w:rFonts w:cs="Arial"/>
                <w:color w:val="000000"/>
                <w:szCs w:val="18"/>
              </w:rPr>
            </w:pPr>
            <w:r>
              <w:rPr>
                <w:rFonts w:cs="Arial"/>
                <w:color w:val="FF0000"/>
                <w:szCs w:val="18"/>
              </w:rPr>
              <w:t>No</w:t>
            </w:r>
          </w:p>
        </w:tc>
        <w:tc>
          <w:tcPr>
            <w:tcW w:w="1726" w:type="dxa"/>
            <w:tcBorders>
              <w:top w:val="single" w:sz="4" w:space="0" w:color="auto"/>
              <w:left w:val="single" w:sz="4" w:space="0" w:color="auto"/>
              <w:bottom w:val="single" w:sz="4" w:space="0" w:color="auto"/>
              <w:right w:val="single" w:sz="4" w:space="0" w:color="auto"/>
            </w:tcBorders>
          </w:tcPr>
          <w:p w14:paraId="1EF734CA" w14:textId="3FCEFC9A" w:rsidR="00666B3C" w:rsidRPr="00507FA2" w:rsidRDefault="00666B3C" w:rsidP="00666B3C">
            <w:pPr>
              <w:pStyle w:val="TAH"/>
              <w:rPr>
                <w:rFonts w:cs="Arial"/>
                <w:szCs w:val="18"/>
              </w:rPr>
            </w:pPr>
            <w:r>
              <w:rPr>
                <w:rFonts w:cs="Arial"/>
                <w:color w:val="FF0000"/>
                <w:szCs w:val="18"/>
                <w:lang w:eastAsia="zh-CN"/>
              </w:rPr>
              <w:t xml:space="preserve">For UEs supporting communicate via </w:t>
            </w:r>
            <w:r>
              <w:rPr>
                <w:rFonts w:cs="Arial"/>
                <w:color w:val="FF0000"/>
                <w:szCs w:val="18"/>
              </w:rPr>
              <w:t>NGSO NTNs</w:t>
            </w:r>
            <w:r>
              <w:rPr>
                <w:rFonts w:cs="Arial"/>
                <w:color w:val="FF0000"/>
                <w:szCs w:val="18"/>
                <w:lang w:eastAsia="zh-CN"/>
              </w:rPr>
              <w:t>, it must indicate this FG is supported.</w:t>
            </w:r>
          </w:p>
        </w:tc>
        <w:tc>
          <w:tcPr>
            <w:tcW w:w="1907" w:type="dxa"/>
            <w:tcBorders>
              <w:top w:val="single" w:sz="4" w:space="0" w:color="auto"/>
              <w:left w:val="single" w:sz="4" w:space="0" w:color="auto"/>
              <w:bottom w:val="single" w:sz="4" w:space="0" w:color="auto"/>
              <w:right w:val="single" w:sz="4" w:space="0" w:color="auto"/>
            </w:tcBorders>
          </w:tcPr>
          <w:p w14:paraId="02BD85B4" w14:textId="77777777" w:rsidR="00666B3C" w:rsidRDefault="00666B3C" w:rsidP="00666B3C">
            <w:pPr>
              <w:pStyle w:val="TAL"/>
              <w:rPr>
                <w:rFonts w:cs="Arial"/>
                <w:color w:val="FF0000"/>
                <w:szCs w:val="18"/>
              </w:rPr>
            </w:pPr>
            <w:r>
              <w:rPr>
                <w:color w:val="FF0000"/>
              </w:rPr>
              <w:t>Optional with capability signalling</w:t>
            </w:r>
          </w:p>
          <w:p w14:paraId="3BBEF121" w14:textId="77777777" w:rsidR="00666B3C" w:rsidRDefault="00666B3C" w:rsidP="00666B3C">
            <w:pPr>
              <w:pStyle w:val="TAL"/>
              <w:rPr>
                <w:color w:val="FF0000"/>
                <w:sz w:val="20"/>
              </w:rPr>
            </w:pPr>
          </w:p>
          <w:p w14:paraId="0CB0E3C1" w14:textId="2735554F" w:rsidR="00666B3C" w:rsidRDefault="00666B3C" w:rsidP="00666B3C">
            <w:pPr>
              <w:pStyle w:val="TAL"/>
              <w:rPr>
                <w:color w:val="000000"/>
              </w:rPr>
            </w:pPr>
            <w:r>
              <w:rPr>
                <w:color w:val="FF0000"/>
              </w:rPr>
              <w:t>Note: This UE feature group is applicable only for IoT-NTN cell, for terrestrial cell this feature is not supported</w:t>
            </w:r>
          </w:p>
        </w:tc>
      </w:tr>
      <w:tr w:rsidR="00666B3C" w:rsidRPr="00507FA2" w14:paraId="54FBBCAA" w14:textId="77777777" w:rsidTr="00685F68">
        <w:tc>
          <w:tcPr>
            <w:tcW w:w="2361" w:type="dxa"/>
            <w:tcBorders>
              <w:top w:val="single" w:sz="4" w:space="0" w:color="auto"/>
              <w:left w:val="single" w:sz="4" w:space="0" w:color="auto"/>
              <w:bottom w:val="single" w:sz="4" w:space="0" w:color="auto"/>
              <w:right w:val="single" w:sz="4" w:space="0" w:color="auto"/>
            </w:tcBorders>
          </w:tcPr>
          <w:p w14:paraId="47F5594F" w14:textId="73D4C507" w:rsidR="00666B3C" w:rsidRDefault="00666B3C" w:rsidP="00666B3C">
            <w:pPr>
              <w:pStyle w:val="TAL"/>
              <w:rPr>
                <w:rFonts w:cs="Arial"/>
                <w:color w:val="000000"/>
                <w:szCs w:val="18"/>
              </w:rPr>
            </w:pPr>
            <w:r>
              <w:rPr>
                <w:rFonts w:cs="Arial"/>
                <w:color w:val="000000"/>
                <w:szCs w:val="18"/>
                <w:lang w:eastAsia="ja-JP"/>
              </w:rPr>
              <w:t xml:space="preserve">2. </w:t>
            </w:r>
            <w:proofErr w:type="spellStart"/>
            <w:r>
              <w:rPr>
                <w:rFonts w:cs="Arial"/>
                <w:color w:val="000000"/>
                <w:szCs w:val="18"/>
                <w:lang w:eastAsia="ja-JP"/>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tcPr>
          <w:p w14:paraId="2A701859" w14:textId="44978791" w:rsidR="00666B3C" w:rsidRDefault="00666B3C" w:rsidP="00666B3C">
            <w:pPr>
              <w:pStyle w:val="TAL"/>
              <w:rPr>
                <w:rFonts w:cs="Arial"/>
                <w:color w:val="000000"/>
                <w:szCs w:val="18"/>
              </w:rPr>
            </w:pPr>
            <w:r>
              <w:rPr>
                <w:rFonts w:cs="Arial"/>
                <w:color w:val="000000"/>
                <w:szCs w:val="18"/>
                <w:lang w:eastAsia="ja-JP"/>
              </w:rPr>
              <w:t>2-2</w:t>
            </w:r>
          </w:p>
        </w:tc>
        <w:tc>
          <w:tcPr>
            <w:tcW w:w="1386" w:type="dxa"/>
            <w:tcBorders>
              <w:top w:val="single" w:sz="4" w:space="0" w:color="auto"/>
              <w:left w:val="single" w:sz="4" w:space="0" w:color="auto"/>
              <w:bottom w:val="single" w:sz="4" w:space="0" w:color="auto"/>
              <w:right w:val="single" w:sz="4" w:space="0" w:color="auto"/>
            </w:tcBorders>
          </w:tcPr>
          <w:p w14:paraId="2962D058" w14:textId="0438A06B" w:rsidR="00666B3C" w:rsidRDefault="00666B3C" w:rsidP="00666B3C">
            <w:pPr>
              <w:pStyle w:val="TAL"/>
              <w:rPr>
                <w:rFonts w:cs="Arial"/>
                <w:color w:val="000000"/>
                <w:szCs w:val="18"/>
              </w:rPr>
            </w:pPr>
            <w:r>
              <w:rPr>
                <w:rFonts w:cs="Arial"/>
                <w:color w:val="000000"/>
                <w:szCs w:val="18"/>
              </w:rPr>
              <w:t xml:space="preserve">Enhancing timing relationships using a time offset </w:t>
            </w:r>
            <w:r>
              <w:rPr>
                <w:rFonts w:cs="Arial"/>
                <w:color w:val="FF0000"/>
                <w:szCs w:val="18"/>
              </w:rPr>
              <w:t>for eMTC</w:t>
            </w:r>
          </w:p>
        </w:tc>
        <w:tc>
          <w:tcPr>
            <w:tcW w:w="4007" w:type="dxa"/>
            <w:tcBorders>
              <w:top w:val="single" w:sz="4" w:space="0" w:color="auto"/>
              <w:left w:val="single" w:sz="4" w:space="0" w:color="auto"/>
              <w:bottom w:val="single" w:sz="4" w:space="0" w:color="auto"/>
              <w:right w:val="single" w:sz="4" w:space="0" w:color="auto"/>
            </w:tcBorders>
          </w:tcPr>
          <w:p w14:paraId="4EDF9AC8" w14:textId="0B6EDB14" w:rsidR="00666B3C" w:rsidRDefault="00666B3C" w:rsidP="00666B3C">
            <w:pPr>
              <w:pStyle w:val="TAL"/>
              <w:rPr>
                <w:color w:val="000000"/>
              </w:rPr>
            </w:pPr>
            <w:r>
              <w:rPr>
                <w:rFonts w:cs="Arial"/>
                <w:color w:val="000000"/>
                <w:szCs w:val="18"/>
              </w:rPr>
              <w:t xml:space="preserve">UE receives and applies UE specific </w:t>
            </w:r>
            <w:proofErr w:type="spellStart"/>
            <w:r>
              <w:rPr>
                <w:rFonts w:cs="Arial"/>
                <w:color w:val="000000"/>
                <w:szCs w:val="18"/>
              </w:rPr>
              <w:t>K_offset</w:t>
            </w:r>
            <w:proofErr w:type="spellEnd"/>
            <w:r>
              <w:rPr>
                <w:rFonts w:cs="Arial"/>
                <w:color w:val="000000"/>
                <w:szCs w:val="18"/>
              </w:rPr>
              <w:t xml:space="preserve">, </w:t>
            </w:r>
            <w:proofErr w:type="spellStart"/>
            <w:r>
              <w:rPr>
                <w:rFonts w:cs="Arial"/>
                <w:color w:val="000000"/>
                <w:szCs w:val="18"/>
              </w:rPr>
              <w:t>K_mac</w:t>
            </w:r>
            <w:proofErr w:type="spellEnd"/>
            <w:r>
              <w:rPr>
                <w:rFonts w:cs="Arial"/>
                <w:color w:val="000000"/>
                <w:szCs w:val="18"/>
              </w:rPr>
              <w:t xml:space="preserve"> in timing relationship enhancements</w:t>
            </w:r>
          </w:p>
        </w:tc>
        <w:tc>
          <w:tcPr>
            <w:tcW w:w="1257" w:type="dxa"/>
            <w:tcBorders>
              <w:top w:val="single" w:sz="4" w:space="0" w:color="auto"/>
              <w:left w:val="single" w:sz="4" w:space="0" w:color="auto"/>
              <w:bottom w:val="single" w:sz="4" w:space="0" w:color="auto"/>
              <w:right w:val="single" w:sz="4" w:space="0" w:color="auto"/>
            </w:tcBorders>
          </w:tcPr>
          <w:p w14:paraId="7341CA30" w14:textId="36D73634" w:rsidR="00666B3C" w:rsidRPr="00507FA2" w:rsidRDefault="00666B3C" w:rsidP="00666B3C">
            <w:pPr>
              <w:pStyle w:val="TAH"/>
              <w:rPr>
                <w:rFonts w:cs="Arial"/>
                <w:szCs w:val="18"/>
              </w:rPr>
            </w:pPr>
            <w:r>
              <w:rPr>
                <w:rFonts w:cs="Arial"/>
                <w:color w:val="000000"/>
                <w:szCs w:val="18"/>
              </w:rPr>
              <w:t>2-1 , 2-3</w:t>
            </w:r>
          </w:p>
        </w:tc>
        <w:tc>
          <w:tcPr>
            <w:tcW w:w="1096" w:type="dxa"/>
            <w:tcBorders>
              <w:top w:val="single" w:sz="4" w:space="0" w:color="auto"/>
              <w:left w:val="single" w:sz="4" w:space="0" w:color="auto"/>
              <w:bottom w:val="single" w:sz="4" w:space="0" w:color="auto"/>
              <w:right w:val="single" w:sz="4" w:space="0" w:color="auto"/>
            </w:tcBorders>
          </w:tcPr>
          <w:p w14:paraId="3DF683FB" w14:textId="79473B9C" w:rsidR="00666B3C" w:rsidRDefault="00666B3C" w:rsidP="00666B3C">
            <w:pPr>
              <w:pStyle w:val="TAH"/>
              <w:rPr>
                <w:rFonts w:cs="Arial"/>
                <w:color w:val="000000"/>
                <w:szCs w:val="18"/>
              </w:rPr>
            </w:pPr>
            <w:r>
              <w:rPr>
                <w:rFonts w:cs="Arial"/>
                <w:color w:val="000000"/>
                <w:szCs w:val="18"/>
              </w:rPr>
              <w:t xml:space="preserve">Yes </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3532076E" w14:textId="3CC6BDE4" w:rsidR="00666B3C" w:rsidRDefault="00666B3C" w:rsidP="00666B3C">
            <w:pPr>
              <w:pStyle w:val="TAH"/>
              <w:rPr>
                <w:rFonts w:cs="Arial"/>
                <w:color w:val="000000"/>
                <w:szCs w:val="18"/>
              </w:rPr>
            </w:pPr>
            <w:r>
              <w:rPr>
                <w:rFonts w:cs="Arial"/>
                <w:color w:val="000000"/>
                <w:szCs w:val="18"/>
              </w:rPr>
              <w:t>N/A</w:t>
            </w:r>
          </w:p>
        </w:tc>
        <w:tc>
          <w:tcPr>
            <w:tcW w:w="1397" w:type="dxa"/>
            <w:tcBorders>
              <w:top w:val="single" w:sz="4" w:space="0" w:color="auto"/>
              <w:left w:val="single" w:sz="4" w:space="0" w:color="auto"/>
              <w:bottom w:val="single" w:sz="4" w:space="0" w:color="auto"/>
              <w:right w:val="single" w:sz="4" w:space="0" w:color="auto"/>
            </w:tcBorders>
          </w:tcPr>
          <w:p w14:paraId="5B53D93B" w14:textId="2F6FB529" w:rsidR="00666B3C" w:rsidRDefault="00666B3C" w:rsidP="00666B3C">
            <w:pPr>
              <w:pStyle w:val="TAN"/>
              <w:ind w:left="0" w:firstLine="0"/>
              <w:rPr>
                <w:rFonts w:cs="Arial"/>
                <w:color w:val="000000"/>
                <w:szCs w:val="18"/>
              </w:rPr>
            </w:pPr>
            <w:r>
              <w:rPr>
                <w:rFonts w:cs="Arial"/>
                <w:color w:val="FF0000"/>
                <w:szCs w:val="18"/>
                <w:lang w:eastAsia="ja-JP"/>
              </w:rPr>
              <w:t xml:space="preserve">eMTC </w:t>
            </w:r>
            <w:r>
              <w:rPr>
                <w:rFonts w:cs="Arial"/>
                <w:color w:val="000000"/>
                <w:szCs w:val="18"/>
                <w:lang w:eastAsia="ja-JP"/>
              </w:rPr>
              <w:t xml:space="preserve">UE does not know the offset to apply for UL transmission </w:t>
            </w:r>
          </w:p>
        </w:tc>
        <w:tc>
          <w:tcPr>
            <w:tcW w:w="1795" w:type="dxa"/>
            <w:tcBorders>
              <w:top w:val="single" w:sz="4" w:space="0" w:color="auto"/>
              <w:left w:val="single" w:sz="4" w:space="0" w:color="auto"/>
              <w:bottom w:val="single" w:sz="4" w:space="0" w:color="auto"/>
              <w:right w:val="single" w:sz="4" w:space="0" w:color="auto"/>
            </w:tcBorders>
          </w:tcPr>
          <w:p w14:paraId="3AC19735" w14:textId="6B85BDDC" w:rsidR="00666B3C" w:rsidRDefault="00666B3C" w:rsidP="00666B3C">
            <w:pPr>
              <w:pStyle w:val="TAN"/>
              <w:ind w:left="0" w:firstLine="0"/>
              <w:rPr>
                <w:rFonts w:cs="Arial"/>
                <w:color w:val="000000"/>
                <w:szCs w:val="18"/>
                <w:highlight w:val="yellow"/>
              </w:rPr>
            </w:pPr>
            <w:r>
              <w:rPr>
                <w:rFonts w:cs="Arial"/>
                <w:color w:val="000000"/>
                <w:szCs w:val="18"/>
                <w:highlight w:val="yellow"/>
              </w:rPr>
              <w:t>[Per UE/per band]</w:t>
            </w:r>
          </w:p>
        </w:tc>
        <w:tc>
          <w:tcPr>
            <w:tcW w:w="1457" w:type="dxa"/>
            <w:tcBorders>
              <w:top w:val="single" w:sz="4" w:space="0" w:color="auto"/>
              <w:left w:val="single" w:sz="4" w:space="0" w:color="auto"/>
              <w:bottom w:val="single" w:sz="4" w:space="0" w:color="auto"/>
              <w:right w:val="single" w:sz="4" w:space="0" w:color="auto"/>
            </w:tcBorders>
          </w:tcPr>
          <w:p w14:paraId="2FD29FE0" w14:textId="04D18435" w:rsidR="00666B3C" w:rsidRDefault="00666B3C" w:rsidP="00666B3C">
            <w:pPr>
              <w:pStyle w:val="TAH"/>
              <w:rPr>
                <w:rFonts w:cs="Arial"/>
                <w:color w:val="000000"/>
                <w:szCs w:val="18"/>
              </w:rPr>
            </w:pPr>
            <w:r>
              <w:rPr>
                <w:rFonts w:cs="Arial"/>
                <w:color w:val="000000"/>
                <w:szCs w:val="18"/>
              </w:rPr>
              <w:t>No</w:t>
            </w:r>
          </w:p>
        </w:tc>
        <w:tc>
          <w:tcPr>
            <w:tcW w:w="1377" w:type="dxa"/>
            <w:tcBorders>
              <w:top w:val="single" w:sz="4" w:space="0" w:color="auto"/>
              <w:left w:val="single" w:sz="4" w:space="0" w:color="auto"/>
              <w:bottom w:val="single" w:sz="4" w:space="0" w:color="auto"/>
              <w:right w:val="single" w:sz="4" w:space="0" w:color="auto"/>
            </w:tcBorders>
          </w:tcPr>
          <w:p w14:paraId="3E4C2320" w14:textId="74C98C4A" w:rsidR="00666B3C" w:rsidRDefault="00666B3C" w:rsidP="00666B3C">
            <w:pPr>
              <w:pStyle w:val="TAH"/>
              <w:rPr>
                <w:rFonts w:cs="Arial"/>
                <w:color w:val="000000"/>
                <w:szCs w:val="18"/>
              </w:rPr>
            </w:pPr>
            <w:r>
              <w:rPr>
                <w:rFonts w:cs="Arial"/>
                <w:color w:val="000000"/>
                <w:szCs w:val="18"/>
              </w:rPr>
              <w:t>No</w:t>
            </w:r>
          </w:p>
        </w:tc>
        <w:tc>
          <w:tcPr>
            <w:tcW w:w="1726" w:type="dxa"/>
            <w:tcBorders>
              <w:top w:val="single" w:sz="4" w:space="0" w:color="auto"/>
              <w:left w:val="single" w:sz="4" w:space="0" w:color="auto"/>
              <w:bottom w:val="single" w:sz="4" w:space="0" w:color="auto"/>
              <w:right w:val="single" w:sz="4" w:space="0" w:color="auto"/>
            </w:tcBorders>
          </w:tcPr>
          <w:p w14:paraId="7317E512" w14:textId="77777777" w:rsidR="00666B3C" w:rsidRDefault="00666B3C" w:rsidP="00666B3C">
            <w:pPr>
              <w:pStyle w:val="TAL"/>
              <w:rPr>
                <w:rFonts w:cs="Arial"/>
                <w:color w:val="000000"/>
                <w:szCs w:val="18"/>
              </w:rPr>
            </w:pPr>
            <w:r>
              <w:rPr>
                <w:color w:val="000000"/>
              </w:rPr>
              <w:t xml:space="preserve">The </w:t>
            </w:r>
            <w:proofErr w:type="spellStart"/>
            <w:r>
              <w:rPr>
                <w:color w:val="000000"/>
              </w:rPr>
              <w:t>K_offset</w:t>
            </w:r>
            <w:proofErr w:type="spellEnd"/>
            <w:r>
              <w:rPr>
                <w:color w:val="000000"/>
              </w:rPr>
              <w:t xml:space="preserve"> is a scheduling offset used for the identified timing relationships that need to be modified for IoT NTN. </w:t>
            </w:r>
          </w:p>
          <w:p w14:paraId="76BBDCD8" w14:textId="77777777" w:rsidR="00666B3C" w:rsidRDefault="00666B3C" w:rsidP="00666B3C">
            <w:pPr>
              <w:pStyle w:val="TAL"/>
              <w:rPr>
                <w:color w:val="000000"/>
                <w:sz w:val="20"/>
              </w:rPr>
            </w:pPr>
            <w:r>
              <w:rPr>
                <w:color w:val="000000"/>
              </w:rPr>
              <w:t>For IoT NTN, support cell-specific Koffset configuration for use during initial access.</w:t>
            </w:r>
          </w:p>
          <w:p w14:paraId="09EC58CC" w14:textId="20144DAC" w:rsidR="00666B3C" w:rsidRPr="00507FA2" w:rsidRDefault="00666B3C" w:rsidP="00666B3C">
            <w:pPr>
              <w:pStyle w:val="TAH"/>
              <w:rPr>
                <w:rFonts w:cs="Arial"/>
                <w:szCs w:val="18"/>
              </w:rPr>
            </w:pPr>
            <w:r>
              <w:rPr>
                <w:color w:val="000000"/>
              </w:rPr>
              <w:t>For IoT NTN, support the use of UE-specific Koffset in CONNECTED mode.</w:t>
            </w:r>
          </w:p>
        </w:tc>
        <w:tc>
          <w:tcPr>
            <w:tcW w:w="1907" w:type="dxa"/>
            <w:tcBorders>
              <w:top w:val="single" w:sz="4" w:space="0" w:color="auto"/>
              <w:left w:val="single" w:sz="4" w:space="0" w:color="auto"/>
              <w:bottom w:val="single" w:sz="4" w:space="0" w:color="auto"/>
              <w:right w:val="single" w:sz="4" w:space="0" w:color="auto"/>
            </w:tcBorders>
          </w:tcPr>
          <w:p w14:paraId="4B17393D" w14:textId="45F4750F" w:rsidR="00666B3C" w:rsidRDefault="00666B3C" w:rsidP="00666B3C">
            <w:pPr>
              <w:pStyle w:val="TAL"/>
              <w:rPr>
                <w:color w:val="000000"/>
              </w:rPr>
            </w:pPr>
            <w:r>
              <w:rPr>
                <w:color w:val="000000"/>
              </w:rPr>
              <w:t>Optional with capability signalling</w:t>
            </w:r>
          </w:p>
        </w:tc>
      </w:tr>
      <w:tr w:rsidR="00666B3C" w:rsidRPr="00507FA2" w14:paraId="7558B96A" w14:textId="77777777" w:rsidTr="00685F68">
        <w:tc>
          <w:tcPr>
            <w:tcW w:w="2361" w:type="dxa"/>
            <w:tcBorders>
              <w:top w:val="single" w:sz="4" w:space="0" w:color="auto"/>
              <w:left w:val="single" w:sz="4" w:space="0" w:color="auto"/>
              <w:bottom w:val="single" w:sz="4" w:space="0" w:color="auto"/>
              <w:right w:val="single" w:sz="4" w:space="0" w:color="auto"/>
            </w:tcBorders>
          </w:tcPr>
          <w:p w14:paraId="244CF62A" w14:textId="4E3B956B" w:rsidR="00666B3C" w:rsidRDefault="00666B3C" w:rsidP="00666B3C">
            <w:pPr>
              <w:pStyle w:val="TAL"/>
              <w:rPr>
                <w:rFonts w:cs="Arial"/>
                <w:color w:val="000000"/>
                <w:szCs w:val="18"/>
              </w:rPr>
            </w:pPr>
            <w:r>
              <w:rPr>
                <w:rFonts w:cs="Arial"/>
                <w:color w:val="FF0000"/>
                <w:szCs w:val="18"/>
                <w:lang w:eastAsia="ja-JP"/>
              </w:rPr>
              <w:lastRenderedPageBreak/>
              <w:t xml:space="preserve">2. </w:t>
            </w:r>
            <w:proofErr w:type="spellStart"/>
            <w:r>
              <w:rPr>
                <w:rFonts w:cs="Arial"/>
                <w:color w:val="FF0000"/>
                <w:szCs w:val="18"/>
                <w:lang w:eastAsia="ja-JP"/>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tcPr>
          <w:p w14:paraId="378C735D" w14:textId="5EE002F6" w:rsidR="00666B3C" w:rsidRDefault="00666B3C" w:rsidP="00666B3C">
            <w:pPr>
              <w:pStyle w:val="TAL"/>
              <w:rPr>
                <w:rFonts w:cs="Arial"/>
                <w:color w:val="000000"/>
                <w:szCs w:val="18"/>
              </w:rPr>
            </w:pPr>
            <w:r>
              <w:rPr>
                <w:rFonts w:cs="Arial"/>
                <w:color w:val="FF0000"/>
                <w:szCs w:val="18"/>
                <w:lang w:eastAsia="ja-JP"/>
              </w:rPr>
              <w:t>2-2a</w:t>
            </w:r>
          </w:p>
        </w:tc>
        <w:tc>
          <w:tcPr>
            <w:tcW w:w="1386" w:type="dxa"/>
            <w:tcBorders>
              <w:top w:val="single" w:sz="4" w:space="0" w:color="auto"/>
              <w:left w:val="single" w:sz="4" w:space="0" w:color="auto"/>
              <w:bottom w:val="single" w:sz="4" w:space="0" w:color="auto"/>
              <w:right w:val="single" w:sz="4" w:space="0" w:color="auto"/>
            </w:tcBorders>
          </w:tcPr>
          <w:p w14:paraId="223282EA" w14:textId="52DE7015" w:rsidR="00666B3C" w:rsidRDefault="00666B3C" w:rsidP="00666B3C">
            <w:pPr>
              <w:pStyle w:val="TAL"/>
              <w:rPr>
                <w:rFonts w:cs="Arial"/>
                <w:color w:val="000000"/>
                <w:szCs w:val="18"/>
              </w:rPr>
            </w:pPr>
            <w:r>
              <w:rPr>
                <w:rFonts w:cs="Arial"/>
                <w:color w:val="FF0000"/>
                <w:szCs w:val="18"/>
              </w:rPr>
              <w:t>Enhancing timing relationships using a time offset for NB-IoT</w:t>
            </w:r>
          </w:p>
        </w:tc>
        <w:tc>
          <w:tcPr>
            <w:tcW w:w="4007" w:type="dxa"/>
            <w:tcBorders>
              <w:top w:val="single" w:sz="4" w:space="0" w:color="auto"/>
              <w:left w:val="single" w:sz="4" w:space="0" w:color="auto"/>
              <w:bottom w:val="single" w:sz="4" w:space="0" w:color="auto"/>
              <w:right w:val="single" w:sz="4" w:space="0" w:color="auto"/>
            </w:tcBorders>
          </w:tcPr>
          <w:p w14:paraId="06D51378" w14:textId="3A7EB1DE" w:rsidR="00666B3C" w:rsidRDefault="00666B3C" w:rsidP="00666B3C">
            <w:pPr>
              <w:pStyle w:val="TAL"/>
              <w:rPr>
                <w:color w:val="000000"/>
              </w:rPr>
            </w:pPr>
            <w:r>
              <w:rPr>
                <w:rFonts w:cs="Arial"/>
                <w:color w:val="FF0000"/>
                <w:szCs w:val="18"/>
              </w:rPr>
              <w:t xml:space="preserve">UE receives and applies UE specific </w:t>
            </w:r>
            <w:proofErr w:type="spellStart"/>
            <w:r>
              <w:rPr>
                <w:rFonts w:cs="Arial"/>
                <w:color w:val="FF0000"/>
                <w:szCs w:val="18"/>
              </w:rPr>
              <w:t>K_offset</w:t>
            </w:r>
            <w:proofErr w:type="spellEnd"/>
            <w:r>
              <w:rPr>
                <w:rFonts w:cs="Arial"/>
                <w:color w:val="FF0000"/>
                <w:szCs w:val="18"/>
              </w:rPr>
              <w:t xml:space="preserve">, </w:t>
            </w:r>
            <w:proofErr w:type="spellStart"/>
            <w:r>
              <w:rPr>
                <w:rFonts w:cs="Arial"/>
                <w:color w:val="FF0000"/>
                <w:szCs w:val="18"/>
              </w:rPr>
              <w:t>K_mac</w:t>
            </w:r>
            <w:proofErr w:type="spellEnd"/>
            <w:r>
              <w:rPr>
                <w:rFonts w:cs="Arial"/>
                <w:color w:val="FF0000"/>
                <w:szCs w:val="18"/>
              </w:rPr>
              <w:t xml:space="preserve"> in timing relationship enhancements</w:t>
            </w:r>
          </w:p>
        </w:tc>
        <w:tc>
          <w:tcPr>
            <w:tcW w:w="1257" w:type="dxa"/>
            <w:tcBorders>
              <w:top w:val="single" w:sz="4" w:space="0" w:color="auto"/>
              <w:left w:val="single" w:sz="4" w:space="0" w:color="auto"/>
              <w:bottom w:val="single" w:sz="4" w:space="0" w:color="auto"/>
              <w:right w:val="single" w:sz="4" w:space="0" w:color="auto"/>
            </w:tcBorders>
          </w:tcPr>
          <w:p w14:paraId="37588882" w14:textId="297A5C21" w:rsidR="00666B3C" w:rsidRPr="00507FA2" w:rsidRDefault="00666B3C" w:rsidP="00666B3C">
            <w:pPr>
              <w:pStyle w:val="TAH"/>
              <w:rPr>
                <w:rFonts w:cs="Arial"/>
                <w:szCs w:val="18"/>
              </w:rPr>
            </w:pPr>
            <w:r>
              <w:rPr>
                <w:rFonts w:cs="Arial"/>
                <w:color w:val="FF0000"/>
                <w:szCs w:val="18"/>
              </w:rPr>
              <w:t>2-1b, 2-3a</w:t>
            </w:r>
          </w:p>
        </w:tc>
        <w:tc>
          <w:tcPr>
            <w:tcW w:w="1096" w:type="dxa"/>
            <w:tcBorders>
              <w:top w:val="single" w:sz="4" w:space="0" w:color="auto"/>
              <w:left w:val="single" w:sz="4" w:space="0" w:color="auto"/>
              <w:bottom w:val="single" w:sz="4" w:space="0" w:color="auto"/>
              <w:right w:val="single" w:sz="4" w:space="0" w:color="auto"/>
            </w:tcBorders>
          </w:tcPr>
          <w:p w14:paraId="5A79B99E" w14:textId="562D2698" w:rsidR="00666B3C" w:rsidRDefault="00666B3C" w:rsidP="00666B3C">
            <w:pPr>
              <w:pStyle w:val="TAH"/>
              <w:rPr>
                <w:rFonts w:cs="Arial"/>
                <w:color w:val="000000"/>
                <w:szCs w:val="18"/>
              </w:rPr>
            </w:pPr>
            <w:r>
              <w:rPr>
                <w:rFonts w:cs="Arial"/>
                <w:color w:val="FF0000"/>
                <w:szCs w:val="18"/>
              </w:rPr>
              <w:t xml:space="preserve">Yes </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0AD2CCCD" w14:textId="1D2E6F6F" w:rsidR="00666B3C" w:rsidRDefault="00666B3C" w:rsidP="00666B3C">
            <w:pPr>
              <w:pStyle w:val="TAH"/>
              <w:rPr>
                <w:rFonts w:cs="Arial"/>
                <w:color w:val="000000"/>
                <w:szCs w:val="18"/>
              </w:rPr>
            </w:pPr>
            <w:r>
              <w:rPr>
                <w:rFonts w:cs="Arial"/>
                <w:color w:val="FF0000"/>
                <w:szCs w:val="18"/>
              </w:rPr>
              <w:t>N/A</w:t>
            </w:r>
          </w:p>
        </w:tc>
        <w:tc>
          <w:tcPr>
            <w:tcW w:w="1397" w:type="dxa"/>
            <w:tcBorders>
              <w:top w:val="single" w:sz="4" w:space="0" w:color="auto"/>
              <w:left w:val="single" w:sz="4" w:space="0" w:color="auto"/>
              <w:bottom w:val="single" w:sz="4" w:space="0" w:color="auto"/>
              <w:right w:val="single" w:sz="4" w:space="0" w:color="auto"/>
            </w:tcBorders>
          </w:tcPr>
          <w:p w14:paraId="54078540" w14:textId="1975C37A" w:rsidR="00666B3C" w:rsidRDefault="00666B3C" w:rsidP="00666B3C">
            <w:pPr>
              <w:pStyle w:val="TAN"/>
              <w:ind w:left="0" w:firstLine="0"/>
              <w:rPr>
                <w:rFonts w:cs="Arial"/>
                <w:color w:val="000000"/>
                <w:szCs w:val="18"/>
              </w:rPr>
            </w:pPr>
            <w:r>
              <w:rPr>
                <w:rFonts w:cs="Arial"/>
                <w:color w:val="FF0000"/>
                <w:szCs w:val="18"/>
                <w:lang w:eastAsia="ja-JP"/>
              </w:rPr>
              <w:t xml:space="preserve">NB-IoT UE does not know the offset to apply for UL transmission </w:t>
            </w:r>
          </w:p>
        </w:tc>
        <w:tc>
          <w:tcPr>
            <w:tcW w:w="1795" w:type="dxa"/>
            <w:tcBorders>
              <w:top w:val="single" w:sz="4" w:space="0" w:color="auto"/>
              <w:left w:val="single" w:sz="4" w:space="0" w:color="auto"/>
              <w:bottom w:val="single" w:sz="4" w:space="0" w:color="auto"/>
              <w:right w:val="single" w:sz="4" w:space="0" w:color="auto"/>
            </w:tcBorders>
          </w:tcPr>
          <w:p w14:paraId="3F8FCB9B" w14:textId="55D8E41A" w:rsidR="00666B3C" w:rsidRDefault="00666B3C" w:rsidP="00666B3C">
            <w:pPr>
              <w:pStyle w:val="TAN"/>
              <w:ind w:left="0" w:firstLine="0"/>
              <w:rPr>
                <w:rFonts w:cs="Arial"/>
                <w:color w:val="000000"/>
                <w:szCs w:val="18"/>
                <w:highlight w:val="yellow"/>
              </w:rPr>
            </w:pPr>
            <w:r>
              <w:rPr>
                <w:rFonts w:cs="Arial"/>
                <w:color w:val="FF0000"/>
                <w:szCs w:val="18"/>
                <w:highlight w:val="yellow"/>
              </w:rPr>
              <w:t>[Per UE/per band]</w:t>
            </w:r>
          </w:p>
        </w:tc>
        <w:tc>
          <w:tcPr>
            <w:tcW w:w="1457" w:type="dxa"/>
            <w:tcBorders>
              <w:top w:val="single" w:sz="4" w:space="0" w:color="auto"/>
              <w:left w:val="single" w:sz="4" w:space="0" w:color="auto"/>
              <w:bottom w:val="single" w:sz="4" w:space="0" w:color="auto"/>
              <w:right w:val="single" w:sz="4" w:space="0" w:color="auto"/>
            </w:tcBorders>
          </w:tcPr>
          <w:p w14:paraId="0A82CD9B" w14:textId="7CB3AFE7" w:rsidR="00666B3C" w:rsidRDefault="00666B3C" w:rsidP="00666B3C">
            <w:pPr>
              <w:pStyle w:val="TAH"/>
              <w:rPr>
                <w:rFonts w:cs="Arial"/>
                <w:color w:val="000000"/>
                <w:szCs w:val="18"/>
              </w:rPr>
            </w:pPr>
            <w:r>
              <w:rPr>
                <w:rFonts w:cs="Arial"/>
                <w:color w:val="FF0000"/>
                <w:szCs w:val="18"/>
              </w:rPr>
              <w:t>No</w:t>
            </w:r>
          </w:p>
        </w:tc>
        <w:tc>
          <w:tcPr>
            <w:tcW w:w="1377" w:type="dxa"/>
            <w:tcBorders>
              <w:top w:val="single" w:sz="4" w:space="0" w:color="auto"/>
              <w:left w:val="single" w:sz="4" w:space="0" w:color="auto"/>
              <w:bottom w:val="single" w:sz="4" w:space="0" w:color="auto"/>
              <w:right w:val="single" w:sz="4" w:space="0" w:color="auto"/>
            </w:tcBorders>
          </w:tcPr>
          <w:p w14:paraId="5716740C" w14:textId="147037CB" w:rsidR="00666B3C" w:rsidRDefault="00666B3C" w:rsidP="00666B3C">
            <w:pPr>
              <w:pStyle w:val="TAH"/>
              <w:rPr>
                <w:rFonts w:cs="Arial"/>
                <w:color w:val="000000"/>
                <w:szCs w:val="18"/>
              </w:rPr>
            </w:pPr>
            <w:r>
              <w:rPr>
                <w:rFonts w:cs="Arial"/>
                <w:color w:val="FF0000"/>
                <w:szCs w:val="18"/>
              </w:rPr>
              <w:t>No</w:t>
            </w:r>
          </w:p>
        </w:tc>
        <w:tc>
          <w:tcPr>
            <w:tcW w:w="1726" w:type="dxa"/>
            <w:tcBorders>
              <w:top w:val="single" w:sz="4" w:space="0" w:color="auto"/>
              <w:left w:val="single" w:sz="4" w:space="0" w:color="auto"/>
              <w:bottom w:val="single" w:sz="4" w:space="0" w:color="auto"/>
              <w:right w:val="single" w:sz="4" w:space="0" w:color="auto"/>
            </w:tcBorders>
          </w:tcPr>
          <w:p w14:paraId="3019186D" w14:textId="77777777" w:rsidR="00666B3C" w:rsidRDefault="00666B3C" w:rsidP="00666B3C">
            <w:pPr>
              <w:pStyle w:val="TAL"/>
              <w:rPr>
                <w:rFonts w:cs="Arial"/>
                <w:color w:val="FF0000"/>
                <w:szCs w:val="18"/>
              </w:rPr>
            </w:pPr>
            <w:r>
              <w:rPr>
                <w:color w:val="FF0000"/>
              </w:rPr>
              <w:t xml:space="preserve">The </w:t>
            </w:r>
            <w:proofErr w:type="spellStart"/>
            <w:r>
              <w:rPr>
                <w:color w:val="FF0000"/>
              </w:rPr>
              <w:t>K_offset</w:t>
            </w:r>
            <w:proofErr w:type="spellEnd"/>
            <w:r>
              <w:rPr>
                <w:color w:val="FF0000"/>
              </w:rPr>
              <w:t xml:space="preserve"> is a scheduling offset used for the identified timing relationships that need to be modified for IoT NTN. </w:t>
            </w:r>
          </w:p>
          <w:p w14:paraId="4DCAD17B" w14:textId="77777777" w:rsidR="00666B3C" w:rsidRDefault="00666B3C" w:rsidP="00666B3C">
            <w:pPr>
              <w:pStyle w:val="TAL"/>
              <w:rPr>
                <w:color w:val="FF0000"/>
                <w:sz w:val="20"/>
              </w:rPr>
            </w:pPr>
            <w:r>
              <w:rPr>
                <w:color w:val="FF0000"/>
              </w:rPr>
              <w:t>For IoT NTN, support cell-specific Koffset configuration for use during initial access.</w:t>
            </w:r>
          </w:p>
          <w:p w14:paraId="136EC7CE" w14:textId="78D34B40" w:rsidR="00666B3C" w:rsidRPr="00507FA2" w:rsidRDefault="00666B3C" w:rsidP="00666B3C">
            <w:pPr>
              <w:pStyle w:val="TAH"/>
              <w:rPr>
                <w:rFonts w:cs="Arial"/>
                <w:szCs w:val="18"/>
              </w:rPr>
            </w:pPr>
            <w:r>
              <w:rPr>
                <w:color w:val="FF0000"/>
              </w:rPr>
              <w:t>For IoT NTN, support the use of UE-specific Koffset in CONNECTED mode.</w:t>
            </w:r>
          </w:p>
        </w:tc>
        <w:tc>
          <w:tcPr>
            <w:tcW w:w="1907" w:type="dxa"/>
            <w:tcBorders>
              <w:top w:val="single" w:sz="4" w:space="0" w:color="auto"/>
              <w:left w:val="single" w:sz="4" w:space="0" w:color="auto"/>
              <w:bottom w:val="single" w:sz="4" w:space="0" w:color="auto"/>
              <w:right w:val="single" w:sz="4" w:space="0" w:color="auto"/>
            </w:tcBorders>
          </w:tcPr>
          <w:p w14:paraId="1BF3DC57" w14:textId="5CFAC1D8" w:rsidR="00666B3C" w:rsidRDefault="00666B3C" w:rsidP="00666B3C">
            <w:pPr>
              <w:pStyle w:val="TAL"/>
              <w:rPr>
                <w:color w:val="000000"/>
              </w:rPr>
            </w:pPr>
            <w:r>
              <w:rPr>
                <w:color w:val="FF0000"/>
              </w:rPr>
              <w:t>Optional with capability signalling</w:t>
            </w:r>
          </w:p>
        </w:tc>
      </w:tr>
      <w:tr w:rsidR="00666B3C" w:rsidRPr="00507FA2" w14:paraId="12F4DDBB" w14:textId="77777777" w:rsidTr="00685F68">
        <w:tc>
          <w:tcPr>
            <w:tcW w:w="2361" w:type="dxa"/>
            <w:tcBorders>
              <w:top w:val="single" w:sz="4" w:space="0" w:color="auto"/>
              <w:left w:val="single" w:sz="4" w:space="0" w:color="auto"/>
              <w:bottom w:val="single" w:sz="4" w:space="0" w:color="auto"/>
              <w:right w:val="single" w:sz="4" w:space="0" w:color="auto"/>
            </w:tcBorders>
          </w:tcPr>
          <w:p w14:paraId="6E523C6F" w14:textId="20BB58D6" w:rsidR="00666B3C" w:rsidRDefault="00666B3C" w:rsidP="00666B3C">
            <w:pPr>
              <w:pStyle w:val="TAL"/>
              <w:rPr>
                <w:rFonts w:cs="Arial"/>
                <w:color w:val="000000"/>
                <w:szCs w:val="18"/>
              </w:rPr>
            </w:pPr>
            <w:r>
              <w:rPr>
                <w:rFonts w:cs="Arial"/>
                <w:color w:val="000000"/>
                <w:szCs w:val="18"/>
                <w:lang w:eastAsia="ja-JP"/>
              </w:rPr>
              <w:t xml:space="preserve">2. </w:t>
            </w:r>
            <w:proofErr w:type="spellStart"/>
            <w:r>
              <w:rPr>
                <w:rFonts w:cs="Arial"/>
                <w:color w:val="000000"/>
                <w:szCs w:val="18"/>
                <w:lang w:eastAsia="ja-JP"/>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tcPr>
          <w:p w14:paraId="63E57318" w14:textId="4E4BC456" w:rsidR="00666B3C" w:rsidRDefault="00666B3C" w:rsidP="00666B3C">
            <w:pPr>
              <w:pStyle w:val="TAL"/>
              <w:rPr>
                <w:rFonts w:cs="Arial"/>
                <w:color w:val="000000"/>
                <w:szCs w:val="18"/>
              </w:rPr>
            </w:pPr>
            <w:r>
              <w:rPr>
                <w:rFonts w:cs="Arial"/>
                <w:color w:val="000000"/>
                <w:szCs w:val="18"/>
                <w:lang w:eastAsia="ja-JP"/>
              </w:rPr>
              <w:t>2-3</w:t>
            </w:r>
          </w:p>
        </w:tc>
        <w:tc>
          <w:tcPr>
            <w:tcW w:w="1386" w:type="dxa"/>
            <w:tcBorders>
              <w:top w:val="single" w:sz="4" w:space="0" w:color="auto"/>
              <w:left w:val="single" w:sz="4" w:space="0" w:color="auto"/>
              <w:bottom w:val="single" w:sz="4" w:space="0" w:color="auto"/>
              <w:right w:val="single" w:sz="4" w:space="0" w:color="auto"/>
            </w:tcBorders>
          </w:tcPr>
          <w:p w14:paraId="747D5AD3" w14:textId="4BB7F2BB" w:rsidR="00666B3C" w:rsidRDefault="00666B3C" w:rsidP="00666B3C">
            <w:pPr>
              <w:pStyle w:val="TAL"/>
              <w:rPr>
                <w:rFonts w:cs="Arial"/>
                <w:color w:val="000000"/>
                <w:szCs w:val="18"/>
              </w:rPr>
            </w:pPr>
            <w:r>
              <w:rPr>
                <w:rFonts w:cs="Arial"/>
                <w:color w:val="000000"/>
                <w:szCs w:val="18"/>
              </w:rPr>
              <w:t>TA pre-compensation reporting</w:t>
            </w:r>
            <w:r>
              <w:rPr>
                <w:rFonts w:cs="Arial"/>
                <w:color w:val="FF0000"/>
                <w:szCs w:val="18"/>
              </w:rPr>
              <w:t xml:space="preserve"> for eMTC</w:t>
            </w:r>
          </w:p>
        </w:tc>
        <w:tc>
          <w:tcPr>
            <w:tcW w:w="4007" w:type="dxa"/>
            <w:tcBorders>
              <w:top w:val="single" w:sz="4" w:space="0" w:color="auto"/>
              <w:left w:val="single" w:sz="4" w:space="0" w:color="auto"/>
              <w:bottom w:val="single" w:sz="4" w:space="0" w:color="auto"/>
              <w:right w:val="single" w:sz="4" w:space="0" w:color="auto"/>
            </w:tcBorders>
          </w:tcPr>
          <w:p w14:paraId="08123B34" w14:textId="6AE7C174" w:rsidR="00666B3C" w:rsidRDefault="00666B3C" w:rsidP="00666B3C">
            <w:pPr>
              <w:pStyle w:val="TAL"/>
              <w:rPr>
                <w:color w:val="000000"/>
              </w:rPr>
            </w:pPr>
            <w:r>
              <w:rPr>
                <w:rFonts w:cs="Arial"/>
                <w:color w:val="000000"/>
                <w:szCs w:val="18"/>
              </w:rPr>
              <w:t>Support reporting of information about the UE specific TA pre-compensation</w:t>
            </w:r>
          </w:p>
        </w:tc>
        <w:tc>
          <w:tcPr>
            <w:tcW w:w="1257" w:type="dxa"/>
            <w:tcBorders>
              <w:top w:val="single" w:sz="4" w:space="0" w:color="auto"/>
              <w:left w:val="single" w:sz="4" w:space="0" w:color="auto"/>
              <w:bottom w:val="single" w:sz="4" w:space="0" w:color="auto"/>
              <w:right w:val="single" w:sz="4" w:space="0" w:color="auto"/>
            </w:tcBorders>
          </w:tcPr>
          <w:p w14:paraId="3E75F8C2" w14:textId="57F570F5" w:rsidR="00666B3C" w:rsidRPr="00507FA2" w:rsidRDefault="00666B3C" w:rsidP="00666B3C">
            <w:pPr>
              <w:pStyle w:val="TAH"/>
              <w:rPr>
                <w:rFonts w:cs="Arial"/>
                <w:szCs w:val="18"/>
              </w:rPr>
            </w:pPr>
            <w:r>
              <w:rPr>
                <w:rFonts w:cs="Arial"/>
                <w:color w:val="000000"/>
                <w:szCs w:val="18"/>
              </w:rPr>
              <w:t>2-1</w:t>
            </w:r>
          </w:p>
        </w:tc>
        <w:tc>
          <w:tcPr>
            <w:tcW w:w="1096" w:type="dxa"/>
            <w:tcBorders>
              <w:top w:val="single" w:sz="4" w:space="0" w:color="auto"/>
              <w:left w:val="single" w:sz="4" w:space="0" w:color="auto"/>
              <w:bottom w:val="single" w:sz="4" w:space="0" w:color="auto"/>
              <w:right w:val="single" w:sz="4" w:space="0" w:color="auto"/>
            </w:tcBorders>
          </w:tcPr>
          <w:p w14:paraId="4ED4ED2A" w14:textId="7DFB3D8B" w:rsidR="00666B3C" w:rsidRDefault="00666B3C" w:rsidP="00666B3C">
            <w:pPr>
              <w:pStyle w:val="TAH"/>
              <w:rPr>
                <w:rFonts w:cs="Arial"/>
                <w:color w:val="000000"/>
                <w:szCs w:val="18"/>
              </w:rPr>
            </w:pPr>
            <w:r>
              <w:rPr>
                <w:rFonts w:cs="Arial"/>
                <w:color w:val="000000"/>
                <w:szCs w:val="18"/>
              </w:rPr>
              <w:t>Yes</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599B310F" w14:textId="2A74F5D5" w:rsidR="00666B3C" w:rsidRDefault="00666B3C" w:rsidP="00666B3C">
            <w:pPr>
              <w:pStyle w:val="TAH"/>
              <w:rPr>
                <w:rFonts w:cs="Arial"/>
                <w:color w:val="000000"/>
                <w:szCs w:val="18"/>
              </w:rPr>
            </w:pPr>
            <w:r>
              <w:rPr>
                <w:rFonts w:cs="Arial"/>
                <w:color w:val="000000"/>
                <w:szCs w:val="18"/>
              </w:rPr>
              <w:t>No</w:t>
            </w:r>
          </w:p>
        </w:tc>
        <w:tc>
          <w:tcPr>
            <w:tcW w:w="1397" w:type="dxa"/>
            <w:tcBorders>
              <w:top w:val="single" w:sz="4" w:space="0" w:color="auto"/>
              <w:left w:val="single" w:sz="4" w:space="0" w:color="auto"/>
              <w:bottom w:val="single" w:sz="4" w:space="0" w:color="auto"/>
              <w:right w:val="single" w:sz="4" w:space="0" w:color="auto"/>
            </w:tcBorders>
          </w:tcPr>
          <w:p w14:paraId="31B5ED42" w14:textId="6407BB6D" w:rsidR="00666B3C" w:rsidRDefault="00666B3C" w:rsidP="00666B3C">
            <w:pPr>
              <w:pStyle w:val="TAN"/>
              <w:ind w:left="0" w:firstLine="0"/>
              <w:rPr>
                <w:rFonts w:cs="Arial"/>
                <w:color w:val="000000"/>
                <w:szCs w:val="18"/>
              </w:rPr>
            </w:pPr>
            <w:r>
              <w:rPr>
                <w:rFonts w:cs="Arial"/>
                <w:color w:val="000000"/>
                <w:szCs w:val="18"/>
                <w:lang w:eastAsia="ja-JP"/>
              </w:rPr>
              <w:t xml:space="preserve">UL scheduling for FDD-HD: Use of UE-specific TA and/or </w:t>
            </w:r>
            <w:proofErr w:type="spellStart"/>
            <w:r>
              <w:rPr>
                <w:rFonts w:cs="Arial"/>
                <w:color w:val="000000"/>
                <w:szCs w:val="18"/>
                <w:lang w:eastAsia="ja-JP"/>
              </w:rPr>
              <w:t>K_offset</w:t>
            </w:r>
            <w:proofErr w:type="spellEnd"/>
            <w:r>
              <w:rPr>
                <w:rFonts w:cs="Arial"/>
                <w:color w:val="000000"/>
                <w:szCs w:val="18"/>
                <w:lang w:eastAsia="ja-JP"/>
              </w:rPr>
              <w:t xml:space="preserve"> to avoid UL-DL collisions in FDD-HD</w:t>
            </w:r>
          </w:p>
        </w:tc>
        <w:tc>
          <w:tcPr>
            <w:tcW w:w="1795" w:type="dxa"/>
            <w:tcBorders>
              <w:top w:val="single" w:sz="4" w:space="0" w:color="auto"/>
              <w:left w:val="single" w:sz="4" w:space="0" w:color="auto"/>
              <w:bottom w:val="single" w:sz="4" w:space="0" w:color="auto"/>
              <w:right w:val="single" w:sz="4" w:space="0" w:color="auto"/>
            </w:tcBorders>
          </w:tcPr>
          <w:p w14:paraId="2B5BCA87" w14:textId="17AE36A4" w:rsidR="00666B3C" w:rsidRDefault="00666B3C" w:rsidP="00666B3C">
            <w:pPr>
              <w:pStyle w:val="TAN"/>
              <w:ind w:left="0" w:firstLine="0"/>
              <w:rPr>
                <w:rFonts w:cs="Arial"/>
                <w:color w:val="000000"/>
                <w:szCs w:val="18"/>
                <w:highlight w:val="yellow"/>
              </w:rPr>
            </w:pPr>
            <w:r>
              <w:rPr>
                <w:rFonts w:cs="Arial"/>
                <w:color w:val="000000"/>
                <w:szCs w:val="18"/>
                <w:highlight w:val="yellow"/>
              </w:rPr>
              <w:t>[Per UE/per band]</w:t>
            </w:r>
          </w:p>
        </w:tc>
        <w:tc>
          <w:tcPr>
            <w:tcW w:w="1457" w:type="dxa"/>
            <w:tcBorders>
              <w:top w:val="single" w:sz="4" w:space="0" w:color="auto"/>
              <w:left w:val="single" w:sz="4" w:space="0" w:color="auto"/>
              <w:bottom w:val="single" w:sz="4" w:space="0" w:color="auto"/>
              <w:right w:val="single" w:sz="4" w:space="0" w:color="auto"/>
            </w:tcBorders>
          </w:tcPr>
          <w:p w14:paraId="7B7576CE" w14:textId="1172F697" w:rsidR="00666B3C" w:rsidRDefault="00666B3C" w:rsidP="00666B3C">
            <w:pPr>
              <w:pStyle w:val="TAH"/>
              <w:rPr>
                <w:rFonts w:cs="Arial"/>
                <w:color w:val="000000"/>
                <w:szCs w:val="18"/>
              </w:rPr>
            </w:pPr>
            <w:r>
              <w:rPr>
                <w:rFonts w:cs="Arial"/>
                <w:color w:val="000000"/>
                <w:szCs w:val="18"/>
              </w:rPr>
              <w:t>No</w:t>
            </w:r>
          </w:p>
        </w:tc>
        <w:tc>
          <w:tcPr>
            <w:tcW w:w="1377" w:type="dxa"/>
            <w:tcBorders>
              <w:top w:val="single" w:sz="4" w:space="0" w:color="auto"/>
              <w:left w:val="single" w:sz="4" w:space="0" w:color="auto"/>
              <w:bottom w:val="single" w:sz="4" w:space="0" w:color="auto"/>
              <w:right w:val="single" w:sz="4" w:space="0" w:color="auto"/>
            </w:tcBorders>
          </w:tcPr>
          <w:p w14:paraId="645BADE7" w14:textId="026ABD80" w:rsidR="00666B3C" w:rsidRDefault="00666B3C" w:rsidP="00666B3C">
            <w:pPr>
              <w:pStyle w:val="TAH"/>
              <w:rPr>
                <w:rFonts w:cs="Arial"/>
                <w:color w:val="000000"/>
                <w:szCs w:val="18"/>
              </w:rPr>
            </w:pPr>
            <w:r>
              <w:rPr>
                <w:rFonts w:cs="Arial"/>
                <w:color w:val="000000"/>
                <w:szCs w:val="18"/>
              </w:rPr>
              <w:t>No</w:t>
            </w:r>
          </w:p>
        </w:tc>
        <w:tc>
          <w:tcPr>
            <w:tcW w:w="1726" w:type="dxa"/>
            <w:tcBorders>
              <w:top w:val="single" w:sz="4" w:space="0" w:color="auto"/>
              <w:left w:val="single" w:sz="4" w:space="0" w:color="auto"/>
              <w:bottom w:val="single" w:sz="4" w:space="0" w:color="auto"/>
              <w:right w:val="single" w:sz="4" w:space="0" w:color="auto"/>
            </w:tcBorders>
          </w:tcPr>
          <w:p w14:paraId="53F48548" w14:textId="77777777" w:rsidR="00666B3C" w:rsidRDefault="00666B3C" w:rsidP="00666B3C">
            <w:pPr>
              <w:pStyle w:val="TAL"/>
              <w:rPr>
                <w:rFonts w:cs="Arial"/>
                <w:szCs w:val="18"/>
              </w:rPr>
            </w:pPr>
            <w:r>
              <w:rPr>
                <w:color w:val="000000"/>
              </w:rPr>
              <w:t>UE-specific TA reporting is supported in IoT-NTN</w:t>
            </w:r>
          </w:p>
          <w:p w14:paraId="2C2B5481" w14:textId="77777777" w:rsidR="00666B3C" w:rsidRPr="00507FA2" w:rsidRDefault="00666B3C" w:rsidP="00666B3C">
            <w:pPr>
              <w:pStyle w:val="TAH"/>
              <w:rPr>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555ADAF" w14:textId="66A9F452" w:rsidR="00666B3C" w:rsidRDefault="00666B3C" w:rsidP="00666B3C">
            <w:pPr>
              <w:pStyle w:val="TAL"/>
              <w:rPr>
                <w:color w:val="000000"/>
              </w:rPr>
            </w:pPr>
            <w:r>
              <w:rPr>
                <w:color w:val="000000"/>
              </w:rPr>
              <w:t>Optional with capability signalling</w:t>
            </w:r>
          </w:p>
        </w:tc>
      </w:tr>
      <w:tr w:rsidR="00666B3C" w:rsidRPr="00507FA2" w14:paraId="6B0B4913" w14:textId="77777777" w:rsidTr="00685F68">
        <w:tc>
          <w:tcPr>
            <w:tcW w:w="2361" w:type="dxa"/>
            <w:tcBorders>
              <w:top w:val="single" w:sz="4" w:space="0" w:color="auto"/>
              <w:left w:val="single" w:sz="4" w:space="0" w:color="auto"/>
              <w:bottom w:val="single" w:sz="4" w:space="0" w:color="auto"/>
              <w:right w:val="single" w:sz="4" w:space="0" w:color="auto"/>
            </w:tcBorders>
          </w:tcPr>
          <w:p w14:paraId="4FE7346B" w14:textId="210EE47A" w:rsidR="00666B3C" w:rsidRDefault="00666B3C" w:rsidP="00666B3C">
            <w:pPr>
              <w:pStyle w:val="TAL"/>
              <w:rPr>
                <w:rFonts w:cs="Arial"/>
                <w:color w:val="000000"/>
                <w:szCs w:val="18"/>
              </w:rPr>
            </w:pPr>
            <w:r>
              <w:rPr>
                <w:rFonts w:cs="Arial"/>
                <w:color w:val="FF0000"/>
                <w:szCs w:val="18"/>
                <w:lang w:eastAsia="ja-JP"/>
              </w:rPr>
              <w:t xml:space="preserve">2. </w:t>
            </w:r>
            <w:proofErr w:type="spellStart"/>
            <w:r>
              <w:rPr>
                <w:rFonts w:cs="Arial"/>
                <w:color w:val="FF0000"/>
                <w:szCs w:val="18"/>
                <w:lang w:eastAsia="ja-JP"/>
              </w:rPr>
              <w:t>LTE_NBIOT_eMTC_NTN</w:t>
            </w:r>
            <w:proofErr w:type="spellEnd"/>
          </w:p>
        </w:tc>
        <w:tc>
          <w:tcPr>
            <w:tcW w:w="704" w:type="dxa"/>
            <w:tcBorders>
              <w:top w:val="single" w:sz="4" w:space="0" w:color="auto"/>
              <w:left w:val="single" w:sz="4" w:space="0" w:color="auto"/>
              <w:bottom w:val="single" w:sz="4" w:space="0" w:color="auto"/>
              <w:right w:val="single" w:sz="4" w:space="0" w:color="auto"/>
            </w:tcBorders>
          </w:tcPr>
          <w:p w14:paraId="73D2C116" w14:textId="535FEB5E" w:rsidR="00666B3C" w:rsidRDefault="00666B3C" w:rsidP="00666B3C">
            <w:pPr>
              <w:pStyle w:val="TAL"/>
              <w:rPr>
                <w:rFonts w:cs="Arial"/>
                <w:color w:val="000000"/>
                <w:szCs w:val="18"/>
              </w:rPr>
            </w:pPr>
            <w:r>
              <w:rPr>
                <w:rFonts w:cs="Arial"/>
                <w:color w:val="FF0000"/>
                <w:szCs w:val="18"/>
                <w:lang w:eastAsia="ja-JP"/>
              </w:rPr>
              <w:t>2-3a</w:t>
            </w:r>
          </w:p>
        </w:tc>
        <w:tc>
          <w:tcPr>
            <w:tcW w:w="1386" w:type="dxa"/>
            <w:tcBorders>
              <w:top w:val="single" w:sz="4" w:space="0" w:color="auto"/>
              <w:left w:val="single" w:sz="4" w:space="0" w:color="auto"/>
              <w:bottom w:val="single" w:sz="4" w:space="0" w:color="auto"/>
              <w:right w:val="single" w:sz="4" w:space="0" w:color="auto"/>
            </w:tcBorders>
          </w:tcPr>
          <w:p w14:paraId="77466F7C" w14:textId="21D56731" w:rsidR="00666B3C" w:rsidRDefault="00666B3C" w:rsidP="00666B3C">
            <w:pPr>
              <w:pStyle w:val="TAL"/>
              <w:rPr>
                <w:rFonts w:cs="Arial"/>
                <w:color w:val="000000"/>
                <w:szCs w:val="18"/>
              </w:rPr>
            </w:pPr>
            <w:r>
              <w:rPr>
                <w:rFonts w:cs="Arial"/>
                <w:color w:val="FF0000"/>
                <w:szCs w:val="18"/>
              </w:rPr>
              <w:t>TA pre-compensation reporting for NB-IoT</w:t>
            </w:r>
          </w:p>
        </w:tc>
        <w:tc>
          <w:tcPr>
            <w:tcW w:w="4007" w:type="dxa"/>
            <w:tcBorders>
              <w:top w:val="single" w:sz="4" w:space="0" w:color="auto"/>
              <w:left w:val="single" w:sz="4" w:space="0" w:color="auto"/>
              <w:bottom w:val="single" w:sz="4" w:space="0" w:color="auto"/>
              <w:right w:val="single" w:sz="4" w:space="0" w:color="auto"/>
            </w:tcBorders>
          </w:tcPr>
          <w:p w14:paraId="642FEA0C" w14:textId="12E487D0" w:rsidR="00666B3C" w:rsidRDefault="00666B3C" w:rsidP="00666B3C">
            <w:pPr>
              <w:pStyle w:val="TAL"/>
              <w:rPr>
                <w:color w:val="000000"/>
              </w:rPr>
            </w:pPr>
            <w:r>
              <w:rPr>
                <w:rFonts w:cs="Arial"/>
                <w:color w:val="FF0000"/>
                <w:szCs w:val="18"/>
              </w:rPr>
              <w:t>Support reporting of information about the UE specific TA pre-compensation</w:t>
            </w:r>
          </w:p>
        </w:tc>
        <w:tc>
          <w:tcPr>
            <w:tcW w:w="1257" w:type="dxa"/>
            <w:tcBorders>
              <w:top w:val="single" w:sz="4" w:space="0" w:color="auto"/>
              <w:left w:val="single" w:sz="4" w:space="0" w:color="auto"/>
              <w:bottom w:val="single" w:sz="4" w:space="0" w:color="auto"/>
              <w:right w:val="single" w:sz="4" w:space="0" w:color="auto"/>
            </w:tcBorders>
          </w:tcPr>
          <w:p w14:paraId="1D32ADE5" w14:textId="643AF533" w:rsidR="00666B3C" w:rsidRPr="00507FA2" w:rsidRDefault="00666B3C" w:rsidP="00666B3C">
            <w:pPr>
              <w:pStyle w:val="TAH"/>
              <w:rPr>
                <w:rFonts w:cs="Arial"/>
                <w:szCs w:val="18"/>
              </w:rPr>
            </w:pPr>
            <w:r>
              <w:rPr>
                <w:rFonts w:cs="Arial"/>
                <w:color w:val="FF0000"/>
                <w:szCs w:val="18"/>
              </w:rPr>
              <w:t>2-1b</w:t>
            </w:r>
          </w:p>
        </w:tc>
        <w:tc>
          <w:tcPr>
            <w:tcW w:w="1096" w:type="dxa"/>
            <w:tcBorders>
              <w:top w:val="single" w:sz="4" w:space="0" w:color="auto"/>
              <w:left w:val="single" w:sz="4" w:space="0" w:color="auto"/>
              <w:bottom w:val="single" w:sz="4" w:space="0" w:color="auto"/>
              <w:right w:val="single" w:sz="4" w:space="0" w:color="auto"/>
            </w:tcBorders>
          </w:tcPr>
          <w:p w14:paraId="3C45F45F" w14:textId="44DDA009" w:rsidR="00666B3C" w:rsidRDefault="00666B3C" w:rsidP="00666B3C">
            <w:pPr>
              <w:pStyle w:val="TAH"/>
              <w:rPr>
                <w:rFonts w:cs="Arial"/>
                <w:color w:val="000000"/>
                <w:szCs w:val="18"/>
              </w:rPr>
            </w:pPr>
            <w:r>
              <w:rPr>
                <w:rFonts w:cs="Arial"/>
                <w:color w:val="FF0000"/>
                <w:szCs w:val="18"/>
              </w:rPr>
              <w:t>Yes</w:t>
            </w:r>
          </w:p>
        </w:tc>
        <w:tc>
          <w:tcPr>
            <w:tcW w:w="1910" w:type="dxa"/>
            <w:tcBorders>
              <w:top w:val="single" w:sz="4" w:space="0" w:color="auto"/>
              <w:left w:val="single" w:sz="4" w:space="0" w:color="auto"/>
              <w:bottom w:val="single" w:sz="4" w:space="0" w:color="auto"/>
              <w:right w:val="single" w:sz="4" w:space="0" w:color="auto"/>
            </w:tcBorders>
            <w:shd w:val="clear" w:color="auto" w:fill="auto"/>
          </w:tcPr>
          <w:p w14:paraId="62BCB39B" w14:textId="05515270" w:rsidR="00666B3C" w:rsidRDefault="00666B3C" w:rsidP="00666B3C">
            <w:pPr>
              <w:pStyle w:val="TAH"/>
              <w:rPr>
                <w:rFonts w:cs="Arial"/>
                <w:color w:val="000000"/>
                <w:szCs w:val="18"/>
              </w:rPr>
            </w:pPr>
            <w:r>
              <w:rPr>
                <w:rFonts w:cs="Arial"/>
                <w:color w:val="FF0000"/>
                <w:szCs w:val="18"/>
              </w:rPr>
              <w:t>No</w:t>
            </w:r>
          </w:p>
        </w:tc>
        <w:tc>
          <w:tcPr>
            <w:tcW w:w="1397" w:type="dxa"/>
            <w:tcBorders>
              <w:top w:val="single" w:sz="4" w:space="0" w:color="auto"/>
              <w:left w:val="single" w:sz="4" w:space="0" w:color="auto"/>
              <w:bottom w:val="single" w:sz="4" w:space="0" w:color="auto"/>
              <w:right w:val="single" w:sz="4" w:space="0" w:color="auto"/>
            </w:tcBorders>
          </w:tcPr>
          <w:p w14:paraId="7C432C01" w14:textId="1BD44C03" w:rsidR="00666B3C" w:rsidRDefault="00666B3C" w:rsidP="00666B3C">
            <w:pPr>
              <w:pStyle w:val="TAN"/>
              <w:ind w:left="0" w:firstLine="0"/>
              <w:rPr>
                <w:rFonts w:cs="Arial"/>
                <w:color w:val="000000"/>
                <w:szCs w:val="18"/>
              </w:rPr>
            </w:pPr>
            <w:r>
              <w:rPr>
                <w:rFonts w:cs="Arial"/>
                <w:color w:val="FF0000"/>
                <w:szCs w:val="18"/>
                <w:lang w:eastAsia="ja-JP"/>
              </w:rPr>
              <w:t xml:space="preserve">UL scheduling for FDD-HD: Use of UE-specific TA and/or </w:t>
            </w:r>
            <w:proofErr w:type="spellStart"/>
            <w:r>
              <w:rPr>
                <w:rFonts w:cs="Arial"/>
                <w:color w:val="FF0000"/>
                <w:szCs w:val="18"/>
                <w:lang w:eastAsia="ja-JP"/>
              </w:rPr>
              <w:t>K_offset</w:t>
            </w:r>
            <w:proofErr w:type="spellEnd"/>
            <w:r>
              <w:rPr>
                <w:rFonts w:cs="Arial"/>
                <w:color w:val="FF0000"/>
                <w:szCs w:val="18"/>
                <w:lang w:eastAsia="ja-JP"/>
              </w:rPr>
              <w:t xml:space="preserve"> to avoid UL-DL collisions in FDD-HD</w:t>
            </w:r>
          </w:p>
        </w:tc>
        <w:tc>
          <w:tcPr>
            <w:tcW w:w="1795" w:type="dxa"/>
            <w:tcBorders>
              <w:top w:val="single" w:sz="4" w:space="0" w:color="auto"/>
              <w:left w:val="single" w:sz="4" w:space="0" w:color="auto"/>
              <w:bottom w:val="single" w:sz="4" w:space="0" w:color="auto"/>
              <w:right w:val="single" w:sz="4" w:space="0" w:color="auto"/>
            </w:tcBorders>
          </w:tcPr>
          <w:p w14:paraId="37FC1561" w14:textId="3A74C0D8" w:rsidR="00666B3C" w:rsidRDefault="00666B3C" w:rsidP="00666B3C">
            <w:pPr>
              <w:pStyle w:val="TAN"/>
              <w:ind w:left="0" w:firstLine="0"/>
              <w:rPr>
                <w:rFonts w:cs="Arial"/>
                <w:color w:val="000000"/>
                <w:szCs w:val="18"/>
                <w:highlight w:val="yellow"/>
              </w:rPr>
            </w:pPr>
            <w:r>
              <w:rPr>
                <w:rFonts w:cs="Arial"/>
                <w:color w:val="FF0000"/>
                <w:szCs w:val="18"/>
                <w:highlight w:val="yellow"/>
              </w:rPr>
              <w:t>[Per UE/per band]</w:t>
            </w:r>
          </w:p>
        </w:tc>
        <w:tc>
          <w:tcPr>
            <w:tcW w:w="1457" w:type="dxa"/>
            <w:tcBorders>
              <w:top w:val="single" w:sz="4" w:space="0" w:color="auto"/>
              <w:left w:val="single" w:sz="4" w:space="0" w:color="auto"/>
              <w:bottom w:val="single" w:sz="4" w:space="0" w:color="auto"/>
              <w:right w:val="single" w:sz="4" w:space="0" w:color="auto"/>
            </w:tcBorders>
          </w:tcPr>
          <w:p w14:paraId="5CCCFD2F" w14:textId="2C16E953" w:rsidR="00666B3C" w:rsidRDefault="00666B3C" w:rsidP="00666B3C">
            <w:pPr>
              <w:pStyle w:val="TAH"/>
              <w:rPr>
                <w:rFonts w:cs="Arial"/>
                <w:color w:val="000000"/>
                <w:szCs w:val="18"/>
              </w:rPr>
            </w:pPr>
            <w:r>
              <w:rPr>
                <w:rFonts w:cs="Arial"/>
                <w:color w:val="FF0000"/>
                <w:szCs w:val="18"/>
              </w:rPr>
              <w:t>No</w:t>
            </w:r>
          </w:p>
        </w:tc>
        <w:tc>
          <w:tcPr>
            <w:tcW w:w="1377" w:type="dxa"/>
            <w:tcBorders>
              <w:top w:val="single" w:sz="4" w:space="0" w:color="auto"/>
              <w:left w:val="single" w:sz="4" w:space="0" w:color="auto"/>
              <w:bottom w:val="single" w:sz="4" w:space="0" w:color="auto"/>
              <w:right w:val="single" w:sz="4" w:space="0" w:color="auto"/>
            </w:tcBorders>
          </w:tcPr>
          <w:p w14:paraId="3F19D0D6" w14:textId="0601DA3D" w:rsidR="00666B3C" w:rsidRDefault="00666B3C" w:rsidP="00666B3C">
            <w:pPr>
              <w:pStyle w:val="TAH"/>
              <w:rPr>
                <w:rFonts w:cs="Arial"/>
                <w:color w:val="000000"/>
                <w:szCs w:val="18"/>
              </w:rPr>
            </w:pPr>
            <w:r>
              <w:rPr>
                <w:rFonts w:cs="Arial"/>
                <w:color w:val="FF0000"/>
                <w:szCs w:val="18"/>
              </w:rPr>
              <w:t>No</w:t>
            </w:r>
          </w:p>
        </w:tc>
        <w:tc>
          <w:tcPr>
            <w:tcW w:w="1726" w:type="dxa"/>
            <w:tcBorders>
              <w:top w:val="single" w:sz="4" w:space="0" w:color="auto"/>
              <w:left w:val="single" w:sz="4" w:space="0" w:color="auto"/>
              <w:bottom w:val="single" w:sz="4" w:space="0" w:color="auto"/>
              <w:right w:val="single" w:sz="4" w:space="0" w:color="auto"/>
            </w:tcBorders>
          </w:tcPr>
          <w:p w14:paraId="101E1BC6" w14:textId="77777777" w:rsidR="00666B3C" w:rsidRDefault="00666B3C" w:rsidP="00666B3C">
            <w:pPr>
              <w:pStyle w:val="TAL"/>
              <w:rPr>
                <w:rFonts w:cs="Arial"/>
                <w:color w:val="FF0000"/>
                <w:szCs w:val="18"/>
              </w:rPr>
            </w:pPr>
            <w:r>
              <w:rPr>
                <w:color w:val="FF0000"/>
              </w:rPr>
              <w:t>UE-specific TA reporting is supported in IoT-NTN</w:t>
            </w:r>
          </w:p>
          <w:p w14:paraId="5C6D76A2" w14:textId="77777777" w:rsidR="00666B3C" w:rsidRPr="00507FA2" w:rsidRDefault="00666B3C" w:rsidP="00666B3C">
            <w:pPr>
              <w:pStyle w:val="TAH"/>
              <w:rPr>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6E6D1D55" w14:textId="6E1C2496" w:rsidR="00666B3C" w:rsidRDefault="00666B3C" w:rsidP="00666B3C">
            <w:pPr>
              <w:pStyle w:val="TAL"/>
              <w:rPr>
                <w:color w:val="000000"/>
              </w:rPr>
            </w:pPr>
            <w:r>
              <w:rPr>
                <w:color w:val="FF0000"/>
              </w:rPr>
              <w:t>Optional with capability signalling</w:t>
            </w:r>
          </w:p>
        </w:tc>
      </w:tr>
    </w:tbl>
    <w:p w14:paraId="72E633C4" w14:textId="77777777" w:rsidR="00ED1B71" w:rsidRPr="00A67AA6" w:rsidRDefault="00ED1B71" w:rsidP="0087566B">
      <w:pPr>
        <w:rPr>
          <w:rFonts w:eastAsia="Malgun Gothic"/>
          <w:lang w:eastAsia="ko-KR"/>
        </w:rPr>
      </w:pPr>
    </w:p>
    <w:sectPr w:rsidR="00ED1B71" w:rsidRPr="00A67AA6" w:rsidSect="00F67B5B">
      <w:footerReference w:type="default" r:id="rId19"/>
      <w:pgSz w:w="25515"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F6592" w14:textId="77777777" w:rsidR="00BD4BC5" w:rsidRDefault="00BD4BC5">
      <w:r>
        <w:separator/>
      </w:r>
    </w:p>
  </w:endnote>
  <w:endnote w:type="continuationSeparator" w:id="0">
    <w:p w14:paraId="5943EF14" w14:textId="77777777" w:rsidR="00BD4BC5" w:rsidRDefault="00BD4BC5">
      <w:r>
        <w:continuationSeparator/>
      </w:r>
    </w:p>
  </w:endnote>
  <w:endnote w:type="continuationNotice" w:id="1">
    <w:p w14:paraId="5970725E" w14:textId="77777777" w:rsidR="00BD4BC5" w:rsidRDefault="00BD4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93C44" w14:textId="77777777" w:rsidR="00105B17" w:rsidRDefault="00105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6E45FF" w:rsidRPr="00000924" w:rsidRDefault="006E45F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93FAD">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93FAD">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468D1" w14:textId="77777777" w:rsidR="00105B17" w:rsidRDefault="00105B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6E45FF" w:rsidRPr="00000924" w:rsidRDefault="006E45F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93FAD">
      <w:rPr>
        <w:rStyle w:val="PageNumber"/>
        <w:rFonts w:eastAsia="MS Gothic"/>
        <w:noProof/>
      </w:rPr>
      <w:t>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93FAD">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6EFF" w14:textId="77777777" w:rsidR="00BD4BC5" w:rsidRDefault="00BD4BC5">
      <w:r>
        <w:separator/>
      </w:r>
    </w:p>
  </w:footnote>
  <w:footnote w:type="continuationSeparator" w:id="0">
    <w:p w14:paraId="6C5541AB" w14:textId="77777777" w:rsidR="00BD4BC5" w:rsidRDefault="00BD4BC5">
      <w:r>
        <w:continuationSeparator/>
      </w:r>
    </w:p>
  </w:footnote>
  <w:footnote w:type="continuationNotice" w:id="1">
    <w:p w14:paraId="3238F1A0" w14:textId="77777777" w:rsidR="00BD4BC5" w:rsidRDefault="00BD4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79AB" w14:textId="77777777" w:rsidR="00105B17" w:rsidRDefault="00105B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7B597" w14:textId="77777777" w:rsidR="00105B17" w:rsidRDefault="00105B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DCCE4" w14:textId="77777777" w:rsidR="00105B17" w:rsidRDefault="00105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067B3"/>
    <w:multiLevelType w:val="multilevel"/>
    <w:tmpl w:val="348C5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825324"/>
    <w:multiLevelType w:val="hybridMultilevel"/>
    <w:tmpl w:val="A3300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EB6FE0"/>
    <w:multiLevelType w:val="multilevel"/>
    <w:tmpl w:val="435ED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7"/>
  </w:num>
  <w:num w:numId="3">
    <w:abstractNumId w:val="14"/>
  </w:num>
  <w:num w:numId="4">
    <w:abstractNumId w:val="1"/>
  </w:num>
  <w:num w:numId="5">
    <w:abstractNumId w:val="4"/>
  </w:num>
  <w:num w:numId="6">
    <w:abstractNumId w:val="8"/>
  </w:num>
  <w:num w:numId="7">
    <w:abstractNumId w:val="12"/>
  </w:num>
  <w:num w:numId="8">
    <w:abstractNumId w:val="11"/>
  </w:num>
  <w:num w:numId="9">
    <w:abstractNumId w:val="10"/>
  </w:num>
  <w:num w:numId="10">
    <w:abstractNumId w:val="6"/>
  </w:num>
  <w:num w:numId="11">
    <w:abstractNumId w:val="9"/>
  </w:num>
  <w:num w:numId="12">
    <w:abstractNumId w:val="2"/>
  </w:num>
  <w:num w:numId="13">
    <w:abstractNumId w:val="5"/>
  </w:num>
  <w:num w:numId="14">
    <w:abstractNumId w:val="3"/>
  </w:num>
  <w:num w:numId="15">
    <w:abstractNumId w:val="15"/>
  </w:num>
  <w:num w:numId="1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9F"/>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66D"/>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3F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AA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4BC"/>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BC4"/>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4F"/>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FA4"/>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C3"/>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F9"/>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B98"/>
    <w:rsid w:val="00093E83"/>
    <w:rsid w:val="00093EFE"/>
    <w:rsid w:val="00093F84"/>
    <w:rsid w:val="00094475"/>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1E0"/>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6BE"/>
    <w:rsid w:val="000C190D"/>
    <w:rsid w:val="000C1C7F"/>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0CA"/>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79"/>
    <w:rsid w:val="000D0184"/>
    <w:rsid w:val="000D0461"/>
    <w:rsid w:val="000D0465"/>
    <w:rsid w:val="000D0EB1"/>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64"/>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7C0"/>
    <w:rsid w:val="00101A83"/>
    <w:rsid w:val="00101BE2"/>
    <w:rsid w:val="00101C7A"/>
    <w:rsid w:val="00101CFD"/>
    <w:rsid w:val="00101E3D"/>
    <w:rsid w:val="00101F63"/>
    <w:rsid w:val="0010204C"/>
    <w:rsid w:val="00102315"/>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17"/>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960"/>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11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D1"/>
    <w:rsid w:val="001551D0"/>
    <w:rsid w:val="00155242"/>
    <w:rsid w:val="00155544"/>
    <w:rsid w:val="00155549"/>
    <w:rsid w:val="00155694"/>
    <w:rsid w:val="0015580E"/>
    <w:rsid w:val="00155A99"/>
    <w:rsid w:val="00155C25"/>
    <w:rsid w:val="00155D0F"/>
    <w:rsid w:val="00155FBA"/>
    <w:rsid w:val="00156214"/>
    <w:rsid w:val="0015647D"/>
    <w:rsid w:val="00156B20"/>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55F"/>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146"/>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36"/>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8BC"/>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47A"/>
    <w:rsid w:val="001B2572"/>
    <w:rsid w:val="001B25FD"/>
    <w:rsid w:val="001B2992"/>
    <w:rsid w:val="001B2C3D"/>
    <w:rsid w:val="001B2C6E"/>
    <w:rsid w:val="001B2F96"/>
    <w:rsid w:val="001B30CC"/>
    <w:rsid w:val="001B3262"/>
    <w:rsid w:val="001B32DE"/>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51B"/>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0D7"/>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27"/>
    <w:rsid w:val="00204D02"/>
    <w:rsid w:val="00204DB2"/>
    <w:rsid w:val="002052EF"/>
    <w:rsid w:val="002056A5"/>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264"/>
    <w:rsid w:val="0021080C"/>
    <w:rsid w:val="002108B3"/>
    <w:rsid w:val="00210B76"/>
    <w:rsid w:val="00211834"/>
    <w:rsid w:val="002118BE"/>
    <w:rsid w:val="00211918"/>
    <w:rsid w:val="002122BB"/>
    <w:rsid w:val="00212447"/>
    <w:rsid w:val="00212557"/>
    <w:rsid w:val="00212805"/>
    <w:rsid w:val="00212AB1"/>
    <w:rsid w:val="0021390D"/>
    <w:rsid w:val="00213B83"/>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39B"/>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4F"/>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67F7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AFF"/>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95B"/>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2F3"/>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998"/>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6EF7"/>
    <w:rsid w:val="002F7955"/>
    <w:rsid w:val="003004D5"/>
    <w:rsid w:val="00300993"/>
    <w:rsid w:val="00300A3C"/>
    <w:rsid w:val="00300AB2"/>
    <w:rsid w:val="00300D1B"/>
    <w:rsid w:val="00301119"/>
    <w:rsid w:val="0030152A"/>
    <w:rsid w:val="00301819"/>
    <w:rsid w:val="00301A35"/>
    <w:rsid w:val="00301ABF"/>
    <w:rsid w:val="00302104"/>
    <w:rsid w:val="003023A6"/>
    <w:rsid w:val="00302595"/>
    <w:rsid w:val="003029D7"/>
    <w:rsid w:val="00302BA1"/>
    <w:rsid w:val="00303010"/>
    <w:rsid w:val="00303298"/>
    <w:rsid w:val="0030336B"/>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8C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F2C"/>
    <w:rsid w:val="00317174"/>
    <w:rsid w:val="003172BB"/>
    <w:rsid w:val="003174D8"/>
    <w:rsid w:val="0031777C"/>
    <w:rsid w:val="00317865"/>
    <w:rsid w:val="003178CA"/>
    <w:rsid w:val="00317A1C"/>
    <w:rsid w:val="00317FB1"/>
    <w:rsid w:val="0032042F"/>
    <w:rsid w:val="00320925"/>
    <w:rsid w:val="00320A48"/>
    <w:rsid w:val="00320C55"/>
    <w:rsid w:val="00320FEF"/>
    <w:rsid w:val="00321046"/>
    <w:rsid w:val="00321479"/>
    <w:rsid w:val="003217BE"/>
    <w:rsid w:val="00321949"/>
    <w:rsid w:val="00321A13"/>
    <w:rsid w:val="003220A7"/>
    <w:rsid w:val="003221F0"/>
    <w:rsid w:val="0032227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48E"/>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3A0"/>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464"/>
    <w:rsid w:val="003616B8"/>
    <w:rsid w:val="00361AFF"/>
    <w:rsid w:val="00361B1E"/>
    <w:rsid w:val="00361B26"/>
    <w:rsid w:val="00361BC3"/>
    <w:rsid w:val="00361E5F"/>
    <w:rsid w:val="0036251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59"/>
    <w:rsid w:val="00367377"/>
    <w:rsid w:val="00367495"/>
    <w:rsid w:val="00367715"/>
    <w:rsid w:val="0036772A"/>
    <w:rsid w:val="00367781"/>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E14"/>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76F"/>
    <w:rsid w:val="00385C2F"/>
    <w:rsid w:val="00386062"/>
    <w:rsid w:val="003860AA"/>
    <w:rsid w:val="00386457"/>
    <w:rsid w:val="00386D2A"/>
    <w:rsid w:val="00386D3B"/>
    <w:rsid w:val="00386D6D"/>
    <w:rsid w:val="00386E9C"/>
    <w:rsid w:val="0038724E"/>
    <w:rsid w:val="003872F8"/>
    <w:rsid w:val="00387320"/>
    <w:rsid w:val="003873B7"/>
    <w:rsid w:val="0038787C"/>
    <w:rsid w:val="00387E45"/>
    <w:rsid w:val="00387E8A"/>
    <w:rsid w:val="00387F6E"/>
    <w:rsid w:val="003908F9"/>
    <w:rsid w:val="00390D0A"/>
    <w:rsid w:val="00390E77"/>
    <w:rsid w:val="00390F09"/>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DCA"/>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B0F"/>
    <w:rsid w:val="003A6C19"/>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DF9"/>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35"/>
    <w:rsid w:val="003D4FC1"/>
    <w:rsid w:val="003D513E"/>
    <w:rsid w:val="003D5486"/>
    <w:rsid w:val="003D5873"/>
    <w:rsid w:val="003D5D49"/>
    <w:rsid w:val="003D5FD6"/>
    <w:rsid w:val="003D62A1"/>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C00"/>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BB8"/>
    <w:rsid w:val="003F6C0C"/>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3CB"/>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AC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6"/>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DC6"/>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C11"/>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140"/>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4F7F8C"/>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0A"/>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69B"/>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4F"/>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DEC"/>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46C"/>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8D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DA6"/>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6"/>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86"/>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9D1"/>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D4A"/>
    <w:rsid w:val="00636331"/>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88D"/>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B3C"/>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F9"/>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BC8"/>
    <w:rsid w:val="00673CF5"/>
    <w:rsid w:val="006740A5"/>
    <w:rsid w:val="006740EF"/>
    <w:rsid w:val="00674686"/>
    <w:rsid w:val="00674784"/>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5F68"/>
    <w:rsid w:val="006861B7"/>
    <w:rsid w:val="0068628E"/>
    <w:rsid w:val="006864BD"/>
    <w:rsid w:val="006868F7"/>
    <w:rsid w:val="00686999"/>
    <w:rsid w:val="00686E5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3FAD"/>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202"/>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6C"/>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662"/>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C66"/>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D3"/>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5FF"/>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F5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3A9"/>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529"/>
    <w:rsid w:val="00734A5A"/>
    <w:rsid w:val="00734B26"/>
    <w:rsid w:val="00734D0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A8"/>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119"/>
    <w:rsid w:val="0075635A"/>
    <w:rsid w:val="007563E6"/>
    <w:rsid w:val="00756638"/>
    <w:rsid w:val="00756B13"/>
    <w:rsid w:val="00756F1D"/>
    <w:rsid w:val="007571E4"/>
    <w:rsid w:val="00757345"/>
    <w:rsid w:val="007575F3"/>
    <w:rsid w:val="00757B0D"/>
    <w:rsid w:val="00757B35"/>
    <w:rsid w:val="00757D73"/>
    <w:rsid w:val="007600B9"/>
    <w:rsid w:val="00760181"/>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B23"/>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7AE"/>
    <w:rsid w:val="007C78DE"/>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1"/>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1"/>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200"/>
    <w:rsid w:val="007F034C"/>
    <w:rsid w:val="007F03BB"/>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52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17"/>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AE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859"/>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4A"/>
    <w:rsid w:val="0083525B"/>
    <w:rsid w:val="00835607"/>
    <w:rsid w:val="008359B6"/>
    <w:rsid w:val="00835D7B"/>
    <w:rsid w:val="0083606C"/>
    <w:rsid w:val="0083649B"/>
    <w:rsid w:val="008365FF"/>
    <w:rsid w:val="008366F8"/>
    <w:rsid w:val="008369A1"/>
    <w:rsid w:val="00836C92"/>
    <w:rsid w:val="00836DDA"/>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4741"/>
    <w:rsid w:val="008661F7"/>
    <w:rsid w:val="00866499"/>
    <w:rsid w:val="0086665A"/>
    <w:rsid w:val="008667F8"/>
    <w:rsid w:val="008668C7"/>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66B"/>
    <w:rsid w:val="00875798"/>
    <w:rsid w:val="008759B8"/>
    <w:rsid w:val="00875B3B"/>
    <w:rsid w:val="00875ED7"/>
    <w:rsid w:val="00876295"/>
    <w:rsid w:val="00876564"/>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1D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652"/>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729"/>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CB"/>
    <w:rsid w:val="008B7C8A"/>
    <w:rsid w:val="008B7F13"/>
    <w:rsid w:val="008C0047"/>
    <w:rsid w:val="008C03BD"/>
    <w:rsid w:val="008C055D"/>
    <w:rsid w:val="008C0D77"/>
    <w:rsid w:val="008C0ECB"/>
    <w:rsid w:val="008C10F2"/>
    <w:rsid w:val="008C1153"/>
    <w:rsid w:val="008C1210"/>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B5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012"/>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7AE"/>
    <w:rsid w:val="008E2262"/>
    <w:rsid w:val="008E25DF"/>
    <w:rsid w:val="008E263A"/>
    <w:rsid w:val="008E26C8"/>
    <w:rsid w:val="008E2E40"/>
    <w:rsid w:val="008E3023"/>
    <w:rsid w:val="008E35DC"/>
    <w:rsid w:val="008E396B"/>
    <w:rsid w:val="008E3A6B"/>
    <w:rsid w:val="008E3A7A"/>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3C6"/>
    <w:rsid w:val="009034FE"/>
    <w:rsid w:val="00903656"/>
    <w:rsid w:val="009039C1"/>
    <w:rsid w:val="009039C7"/>
    <w:rsid w:val="00903D51"/>
    <w:rsid w:val="00903F43"/>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6F8D"/>
    <w:rsid w:val="0090730C"/>
    <w:rsid w:val="00907520"/>
    <w:rsid w:val="0090763E"/>
    <w:rsid w:val="00907725"/>
    <w:rsid w:val="00907819"/>
    <w:rsid w:val="00907F82"/>
    <w:rsid w:val="00907FA6"/>
    <w:rsid w:val="00910494"/>
    <w:rsid w:val="00910AD8"/>
    <w:rsid w:val="00910CBB"/>
    <w:rsid w:val="00911712"/>
    <w:rsid w:val="009117DC"/>
    <w:rsid w:val="009118A3"/>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711"/>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8F"/>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5E3"/>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89F"/>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A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53D"/>
    <w:rsid w:val="00A11C07"/>
    <w:rsid w:val="00A11DAD"/>
    <w:rsid w:val="00A12305"/>
    <w:rsid w:val="00A1265D"/>
    <w:rsid w:val="00A126F1"/>
    <w:rsid w:val="00A12848"/>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2F"/>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5F"/>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726"/>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472"/>
    <w:rsid w:val="00A65B56"/>
    <w:rsid w:val="00A65F3D"/>
    <w:rsid w:val="00A661F2"/>
    <w:rsid w:val="00A663AF"/>
    <w:rsid w:val="00A667AC"/>
    <w:rsid w:val="00A6732F"/>
    <w:rsid w:val="00A67AA6"/>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A5F"/>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6A9"/>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D5E"/>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6F8F"/>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1EF"/>
    <w:rsid w:val="00AE227F"/>
    <w:rsid w:val="00AE23BD"/>
    <w:rsid w:val="00AE24B9"/>
    <w:rsid w:val="00AE285C"/>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218"/>
    <w:rsid w:val="00B023A9"/>
    <w:rsid w:val="00B02655"/>
    <w:rsid w:val="00B0270D"/>
    <w:rsid w:val="00B02BA3"/>
    <w:rsid w:val="00B02CF5"/>
    <w:rsid w:val="00B02DA1"/>
    <w:rsid w:val="00B03303"/>
    <w:rsid w:val="00B0404F"/>
    <w:rsid w:val="00B04350"/>
    <w:rsid w:val="00B04440"/>
    <w:rsid w:val="00B04507"/>
    <w:rsid w:val="00B04B1A"/>
    <w:rsid w:val="00B04C1E"/>
    <w:rsid w:val="00B04E55"/>
    <w:rsid w:val="00B04FC2"/>
    <w:rsid w:val="00B05350"/>
    <w:rsid w:val="00B053B9"/>
    <w:rsid w:val="00B0570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92"/>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99"/>
    <w:rsid w:val="00B332F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801"/>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389"/>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57F58"/>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0D7"/>
    <w:rsid w:val="00B63529"/>
    <w:rsid w:val="00B63A5F"/>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34"/>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1E85"/>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B9"/>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A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D6D"/>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EE"/>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BC5"/>
    <w:rsid w:val="00BD5042"/>
    <w:rsid w:val="00BD510D"/>
    <w:rsid w:val="00BD5C52"/>
    <w:rsid w:val="00BD5D36"/>
    <w:rsid w:val="00BD5FAB"/>
    <w:rsid w:val="00BD62C4"/>
    <w:rsid w:val="00BD62C8"/>
    <w:rsid w:val="00BD64F5"/>
    <w:rsid w:val="00BD6FA7"/>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74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73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9BE"/>
    <w:rsid w:val="00C36B94"/>
    <w:rsid w:val="00C36CA6"/>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01"/>
    <w:rsid w:val="00C578B3"/>
    <w:rsid w:val="00C57C8C"/>
    <w:rsid w:val="00C57D81"/>
    <w:rsid w:val="00C57DA2"/>
    <w:rsid w:val="00C57F30"/>
    <w:rsid w:val="00C60363"/>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809"/>
    <w:rsid w:val="00C65AA3"/>
    <w:rsid w:val="00C66525"/>
    <w:rsid w:val="00C66738"/>
    <w:rsid w:val="00C66939"/>
    <w:rsid w:val="00C66B54"/>
    <w:rsid w:val="00C66CC4"/>
    <w:rsid w:val="00C6704E"/>
    <w:rsid w:val="00C67897"/>
    <w:rsid w:val="00C70970"/>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337"/>
    <w:rsid w:val="00C9183B"/>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DDD"/>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EB"/>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63B"/>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A0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00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0A7"/>
    <w:rsid w:val="00D20129"/>
    <w:rsid w:val="00D204BF"/>
    <w:rsid w:val="00D2086C"/>
    <w:rsid w:val="00D20DE5"/>
    <w:rsid w:val="00D20E87"/>
    <w:rsid w:val="00D212E6"/>
    <w:rsid w:val="00D21329"/>
    <w:rsid w:val="00D21861"/>
    <w:rsid w:val="00D21D60"/>
    <w:rsid w:val="00D21D6D"/>
    <w:rsid w:val="00D21F90"/>
    <w:rsid w:val="00D2217A"/>
    <w:rsid w:val="00D22236"/>
    <w:rsid w:val="00D22473"/>
    <w:rsid w:val="00D224A1"/>
    <w:rsid w:val="00D22B4F"/>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241"/>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354"/>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6"/>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AFE"/>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A8C"/>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1FE"/>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BAA"/>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75D"/>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F5"/>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5B8"/>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E4"/>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9D4"/>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C05"/>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0E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77FC6"/>
    <w:rsid w:val="00E801EC"/>
    <w:rsid w:val="00E8022E"/>
    <w:rsid w:val="00E8031C"/>
    <w:rsid w:val="00E80358"/>
    <w:rsid w:val="00E80422"/>
    <w:rsid w:val="00E8057E"/>
    <w:rsid w:val="00E80B5D"/>
    <w:rsid w:val="00E80FB8"/>
    <w:rsid w:val="00E8133F"/>
    <w:rsid w:val="00E81404"/>
    <w:rsid w:val="00E8145D"/>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937"/>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89"/>
    <w:rsid w:val="00EC7FEE"/>
    <w:rsid w:val="00ED04D1"/>
    <w:rsid w:val="00ED06EE"/>
    <w:rsid w:val="00ED0839"/>
    <w:rsid w:val="00ED0A5B"/>
    <w:rsid w:val="00ED1015"/>
    <w:rsid w:val="00ED12AE"/>
    <w:rsid w:val="00ED17B6"/>
    <w:rsid w:val="00ED193F"/>
    <w:rsid w:val="00ED1B71"/>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29"/>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278"/>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55"/>
    <w:rsid w:val="00F32D32"/>
    <w:rsid w:val="00F3346F"/>
    <w:rsid w:val="00F33707"/>
    <w:rsid w:val="00F3391C"/>
    <w:rsid w:val="00F33A35"/>
    <w:rsid w:val="00F33AFF"/>
    <w:rsid w:val="00F33B44"/>
    <w:rsid w:val="00F33CBF"/>
    <w:rsid w:val="00F33CC3"/>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DF1"/>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CEE"/>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80F"/>
    <w:rsid w:val="00F6091E"/>
    <w:rsid w:val="00F60EF0"/>
    <w:rsid w:val="00F6193D"/>
    <w:rsid w:val="00F61986"/>
    <w:rsid w:val="00F61A76"/>
    <w:rsid w:val="00F61A95"/>
    <w:rsid w:val="00F61F8C"/>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5B"/>
    <w:rsid w:val="00F67D83"/>
    <w:rsid w:val="00F67DA1"/>
    <w:rsid w:val="00F67F4C"/>
    <w:rsid w:val="00F700A4"/>
    <w:rsid w:val="00F70179"/>
    <w:rsid w:val="00F701E4"/>
    <w:rsid w:val="00F70210"/>
    <w:rsid w:val="00F70632"/>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43"/>
    <w:rsid w:val="00F915AD"/>
    <w:rsid w:val="00F919CE"/>
    <w:rsid w:val="00F9201A"/>
    <w:rsid w:val="00F92663"/>
    <w:rsid w:val="00F92727"/>
    <w:rsid w:val="00F92E81"/>
    <w:rsid w:val="00F92F66"/>
    <w:rsid w:val="00F93403"/>
    <w:rsid w:val="00F9341F"/>
    <w:rsid w:val="00F93427"/>
    <w:rsid w:val="00F93511"/>
    <w:rsid w:val="00F9376B"/>
    <w:rsid w:val="00F9389C"/>
    <w:rsid w:val="00F93AF3"/>
    <w:rsid w:val="00F93DEB"/>
    <w:rsid w:val="00F94457"/>
    <w:rsid w:val="00F94786"/>
    <w:rsid w:val="00F94876"/>
    <w:rsid w:val="00F948F4"/>
    <w:rsid w:val="00F9490B"/>
    <w:rsid w:val="00F94D5D"/>
    <w:rsid w:val="00F95387"/>
    <w:rsid w:val="00F954E4"/>
    <w:rsid w:val="00F959B3"/>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ECD"/>
    <w:rsid w:val="00FA10BE"/>
    <w:rsid w:val="00FA157D"/>
    <w:rsid w:val="00FA1BDA"/>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7C0"/>
    <w:rsid w:val="00FC7BA7"/>
    <w:rsid w:val="00FC7C36"/>
    <w:rsid w:val="00FD0308"/>
    <w:rsid w:val="00FD03C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3E02"/>
    <w:rsid w:val="00FD46A7"/>
    <w:rsid w:val="00FD4D09"/>
    <w:rsid w:val="00FD4F87"/>
    <w:rsid w:val="00FD4FFB"/>
    <w:rsid w:val="00FD51AA"/>
    <w:rsid w:val="00FD5729"/>
    <w:rsid w:val="00FD5AD4"/>
    <w:rsid w:val="00FD5D2C"/>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B"/>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064"/>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E3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3">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rsid w:val="00C430B7"/>
    <w:pPr>
      <w:numPr>
        <w:numId w:val="11"/>
      </w:numPr>
      <w:autoSpaceDE w:val="0"/>
      <w:autoSpaceDN w:val="0"/>
      <w:snapToGrid w:val="0"/>
      <w:spacing w:after="60"/>
      <w:jc w:val="both"/>
    </w:pPr>
    <w:rPr>
      <w:rFonts w:eastAsia="SimSun"/>
      <w:sz w:val="20"/>
      <w:szCs w:val="16"/>
      <w:lang w:val="en-US" w:eastAsia="en-US"/>
    </w:rPr>
  </w:style>
  <w:style w:type="paragraph" w:customStyle="1" w:styleId="01Section1">
    <w:name w:val="01 Section1"/>
    <w:basedOn w:val="Heading1"/>
    <w:qFormat/>
    <w:rsid w:val="00156B20"/>
    <w:pPr>
      <w:keepLines/>
      <w:numPr>
        <w:numId w:val="13"/>
      </w:numPr>
      <w:tabs>
        <w:tab w:val="num" w:pos="0"/>
        <w:tab w:val="left" w:pos="426"/>
      </w:tabs>
      <w:overflowPunct w:val="0"/>
      <w:autoSpaceDE w:val="0"/>
      <w:autoSpaceDN w:val="0"/>
      <w:adjustRightInd w:val="0"/>
      <w:spacing w:line="288" w:lineRule="auto"/>
      <w:ind w:left="799" w:hanging="799"/>
      <w:jc w:val="both"/>
      <w:textAlignment w:val="baseline"/>
    </w:pPr>
    <w:rPr>
      <w:rFonts w:eastAsia="Batang"/>
      <w:kern w:val="0"/>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8897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975745">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183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05889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390408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324052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85972">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671B0288-F28B-44E4-B900-3E62313439AF}">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6</Pages>
  <Words>1696</Words>
  <Characters>9668</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Co.,Ltd.</Company>
  <LinksUpToDate>false</LinksUpToDate>
  <CharactersWithSpaces>11342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WenT Tang (汤文)</dc:creator>
  <cp:keywords>CTPClassification=CTP_NT</cp:keywords>
  <cp:lastModifiedBy>Gilles Charbit</cp:lastModifiedBy>
  <cp:revision>5</cp:revision>
  <cp:lastPrinted>2017-08-09T04:40:00Z</cp:lastPrinted>
  <dcterms:created xsi:type="dcterms:W3CDTF">2022-04-14T10:31:00Z</dcterms:created>
  <dcterms:modified xsi:type="dcterms:W3CDTF">2022-04-19T15:08:00Z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(3)2hSy+lhRHbKSCSfo6791IMu7Z0Eqq4NaTf1DwZI2Jsrb4A2CPc3dyzgvr8Wd5uRkpqPuHwpI
lUpxqChY7wxXVneDKHKdH30xg5HSopObfJHkCf/0n6IU4cCtbBs7p9p/Gb9s8ITCpI+jPSKQ
/C/AO5A/qgZE42XBbIKnZKN41UYX4TR4pTedgU/jat4lnWu/mR6MLxoKpqFi24qrwV3zkmR/
Z6t1q8C4ZbaqrDPDfJ</vt:lpwstr>
  </property>
  <property fmtid="{D5CDD505-2E9C-101B-9397-08002B2CF9AE}" pid="3" name="_2015_ms_pID_7253431">
    <vt:lpwstr>RHvmjXbFH6vgOxeaTY8/xoZ3+SOH1bKK8SjG5U1fpIMRu7bLxwim5g
Si/6d0qcP21WKZuoC4ryLiOTKXx2j/PVTN18K6zejf8OuvRr1qtmjqQENp9m96XKcvYZcKFG
YhsM/1QFpgY+VnRFW+nBfJ9vswmcxBlU3TMuIWhFo8ncoRQ0HkeKVRB8a4Wag7HVtSN7+5OV
4b+9CIL9TY515VdveZTHvWOrPyaDawpKzm/x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1636161135</vt:lpwstr>
  </property>
</Properties>
</file>